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480" w:lineRule="auto"/>
        <w:jc w:val="center"/>
        <w:rPr>
          <w:rFonts w:hint="default" w:ascii="Times New Roman" w:hAnsi="Times New Roman" w:eastAsia="宋体" w:cs="Times New Roman"/>
          <w:b/>
          <w:bCs/>
          <w:sz w:val="36"/>
          <w:szCs w:val="36"/>
          <w:u w:val="none"/>
        </w:rPr>
      </w:pPr>
      <w:bookmarkStart w:id="35" w:name="_GoBack"/>
      <w:bookmarkEnd w:id="35"/>
    </w:p>
    <w:p>
      <w:pPr>
        <w:spacing w:after="0" w:line="480" w:lineRule="auto"/>
        <w:jc w:val="center"/>
        <w:rPr>
          <w:rFonts w:hint="default" w:ascii="Times New Roman" w:hAnsi="Times New Roman" w:eastAsia="宋体" w:cs="Times New Roman"/>
          <w:b/>
          <w:bCs/>
          <w:sz w:val="36"/>
          <w:szCs w:val="36"/>
          <w:u w:val="none"/>
        </w:rPr>
      </w:pPr>
    </w:p>
    <w:p>
      <w:pPr>
        <w:spacing w:after="0" w:line="480" w:lineRule="auto"/>
        <w:jc w:val="center"/>
        <w:rPr>
          <w:rFonts w:hint="default" w:ascii="Times New Roman" w:hAnsi="Times New Roman" w:eastAsia="宋体" w:cs="Times New Roman"/>
          <w:b/>
          <w:bCs/>
          <w:sz w:val="36"/>
          <w:szCs w:val="36"/>
          <w:u w:val="none"/>
        </w:rPr>
      </w:pPr>
    </w:p>
    <w:p>
      <w:pPr>
        <w:pStyle w:val="17"/>
        <w:keepNext w:val="0"/>
        <w:keepLines w:val="0"/>
        <w:pageBreakBefore w:val="0"/>
        <w:widowControl w:val="0"/>
        <w:kinsoku/>
        <w:wordWrap/>
        <w:overflowPunct/>
        <w:topLinePunct w:val="0"/>
        <w:autoSpaceDE/>
        <w:autoSpaceDN/>
        <w:bidi w:val="0"/>
        <w:adjustRightInd/>
        <w:snapToGrid/>
        <w:spacing w:line="560" w:lineRule="exact"/>
        <w:ind w:left="59" w:leftChars="-129" w:right="-482" w:rightChars="-219" w:hanging="343" w:hangingChars="78"/>
        <w:jc w:val="center"/>
        <w:textAlignment w:val="auto"/>
        <w:rPr>
          <w:rFonts w:hint="default" w:ascii="Times New Roman" w:hAnsi="Times New Roman" w:eastAsia="方正小标宋简体" w:cs="Times New Roman"/>
          <w:b w:val="0"/>
          <w:bCs w:val="0"/>
          <w:color w:val="000000"/>
          <w:sz w:val="44"/>
          <w:szCs w:val="44"/>
          <w:u w:val="none"/>
          <w:lang w:eastAsia="zh-CN"/>
        </w:rPr>
      </w:pPr>
      <w:r>
        <w:rPr>
          <w:rFonts w:hint="default" w:ascii="Times New Roman" w:hAnsi="Times New Roman" w:eastAsia="方正小标宋简体" w:cs="Times New Roman"/>
          <w:b w:val="0"/>
          <w:bCs w:val="0"/>
          <w:color w:val="000000"/>
          <w:sz w:val="44"/>
          <w:szCs w:val="44"/>
          <w:u w:val="none"/>
          <w:lang w:eastAsia="zh-CN"/>
        </w:rPr>
        <w:t>新疆维吾尔自治区水利工程建设信息化项目</w:t>
      </w:r>
    </w:p>
    <w:p>
      <w:pPr>
        <w:pStyle w:val="17"/>
        <w:spacing w:before="156" w:beforeLines="50" w:after="156" w:afterLines="50" w:line="600" w:lineRule="auto"/>
        <w:ind w:left="59" w:leftChars="-129" w:right="-482" w:rightChars="-219" w:hanging="343" w:hangingChars="78"/>
        <w:jc w:val="center"/>
        <w:rPr>
          <w:rFonts w:hint="default" w:ascii="Times New Roman" w:hAnsi="Times New Roman" w:eastAsia="方正小标宋简体" w:cs="Times New Roman"/>
          <w:b w:val="0"/>
          <w:bCs w:val="0"/>
          <w:color w:val="000000"/>
          <w:sz w:val="44"/>
          <w:szCs w:val="44"/>
          <w:u w:val="none"/>
          <w:lang w:eastAsia="zh-CN"/>
        </w:rPr>
      </w:pPr>
      <w:r>
        <w:rPr>
          <w:rFonts w:hint="default" w:ascii="Times New Roman" w:hAnsi="Times New Roman" w:eastAsia="方正小标宋简体" w:cs="Times New Roman"/>
          <w:b w:val="0"/>
          <w:bCs w:val="0"/>
          <w:color w:val="000000"/>
          <w:sz w:val="44"/>
          <w:szCs w:val="44"/>
          <w:u w:val="none"/>
          <w:lang w:eastAsia="zh-CN"/>
        </w:rPr>
        <w:t>采购招标评标导则</w:t>
      </w:r>
    </w:p>
    <w:p>
      <w:pPr>
        <w:pStyle w:val="17"/>
        <w:spacing w:before="156" w:beforeLines="50" w:after="156" w:afterLines="50" w:line="600" w:lineRule="auto"/>
        <w:ind w:left="59" w:leftChars="-129" w:right="-482" w:rightChars="-219" w:hanging="343" w:hangingChars="78"/>
        <w:jc w:val="center"/>
        <w:rPr>
          <w:rFonts w:hint="default" w:ascii="Times New Roman" w:hAnsi="Times New Roman" w:eastAsia="方正小标宋简体" w:cs="Times New Roman"/>
          <w:b w:val="0"/>
          <w:bCs w:val="0"/>
          <w:color w:val="000000"/>
          <w:sz w:val="44"/>
          <w:szCs w:val="44"/>
          <w:u w:val="none"/>
          <w:lang w:eastAsia="zh-CN"/>
        </w:rPr>
      </w:pPr>
      <w:r>
        <w:rPr>
          <w:rFonts w:hint="default" w:ascii="Times New Roman" w:hAnsi="Times New Roman" w:eastAsia="方正小标宋简体" w:cs="Times New Roman"/>
          <w:b w:val="0"/>
          <w:bCs w:val="0"/>
          <w:color w:val="000000"/>
          <w:sz w:val="44"/>
          <w:szCs w:val="44"/>
          <w:u w:val="none"/>
          <w:lang w:eastAsia="zh-CN"/>
        </w:rPr>
        <w:t>（征求意见稿）</w:t>
      </w:r>
    </w:p>
    <w:p>
      <w:pPr>
        <w:jc w:val="center"/>
        <w:rPr>
          <w:rFonts w:hint="default" w:ascii="Times New Roman" w:hAnsi="Times New Roman" w:eastAsia="宋体" w:cs="Times New Roman"/>
          <w:b/>
          <w:bCs/>
          <w:sz w:val="36"/>
          <w:szCs w:val="36"/>
          <w:u w:val="none"/>
        </w:rPr>
      </w:pPr>
    </w:p>
    <w:p>
      <w:pPr>
        <w:jc w:val="center"/>
        <w:rPr>
          <w:rFonts w:hint="default" w:ascii="Times New Roman" w:hAnsi="Times New Roman" w:eastAsia="宋体" w:cs="Times New Roman"/>
          <w:b/>
          <w:bCs/>
          <w:sz w:val="36"/>
          <w:szCs w:val="36"/>
          <w:u w:val="none"/>
        </w:rPr>
      </w:pPr>
    </w:p>
    <w:p>
      <w:pPr>
        <w:jc w:val="center"/>
        <w:rPr>
          <w:rFonts w:hint="default" w:ascii="Times New Roman" w:hAnsi="Times New Roman" w:eastAsia="宋体" w:cs="Times New Roman"/>
          <w:b/>
          <w:bCs/>
          <w:sz w:val="36"/>
          <w:szCs w:val="36"/>
          <w:u w:val="none"/>
        </w:rPr>
      </w:pPr>
    </w:p>
    <w:p>
      <w:pPr>
        <w:jc w:val="center"/>
        <w:rPr>
          <w:rFonts w:hint="default" w:ascii="Times New Roman" w:hAnsi="Times New Roman" w:eastAsia="宋体" w:cs="Times New Roman"/>
          <w:b/>
          <w:bCs/>
          <w:sz w:val="36"/>
          <w:szCs w:val="36"/>
          <w:u w:val="none"/>
        </w:rPr>
      </w:pPr>
    </w:p>
    <w:p>
      <w:pPr>
        <w:jc w:val="center"/>
        <w:rPr>
          <w:rFonts w:hint="default" w:ascii="Times New Roman" w:hAnsi="Times New Roman" w:eastAsia="宋体" w:cs="Times New Roman"/>
          <w:b/>
          <w:bCs/>
          <w:sz w:val="36"/>
          <w:szCs w:val="36"/>
          <w:u w:val="none"/>
        </w:rPr>
      </w:pPr>
    </w:p>
    <w:p>
      <w:pPr>
        <w:jc w:val="center"/>
        <w:rPr>
          <w:rFonts w:hint="default" w:ascii="Times New Roman" w:hAnsi="Times New Roman" w:eastAsia="宋体" w:cs="Times New Roman"/>
          <w:b/>
          <w:bCs/>
          <w:sz w:val="36"/>
          <w:szCs w:val="36"/>
          <w:u w:val="none"/>
        </w:rPr>
      </w:pPr>
    </w:p>
    <w:p>
      <w:pPr>
        <w:jc w:val="center"/>
        <w:rPr>
          <w:rFonts w:hint="default" w:ascii="Times New Roman" w:hAnsi="Times New Roman" w:eastAsia="宋体" w:cs="Times New Roman"/>
          <w:b/>
          <w:bCs/>
          <w:sz w:val="36"/>
          <w:szCs w:val="36"/>
          <w:u w:val="none"/>
        </w:rPr>
      </w:pPr>
    </w:p>
    <w:p>
      <w:pPr>
        <w:jc w:val="center"/>
        <w:rPr>
          <w:rFonts w:hint="default" w:ascii="Times New Roman" w:hAnsi="Times New Roman" w:eastAsia="方正小标宋简体" w:cs="Times New Roman"/>
          <w:b w:val="0"/>
          <w:bCs w:val="0"/>
          <w:sz w:val="36"/>
          <w:szCs w:val="36"/>
          <w:u w:val="none"/>
        </w:rPr>
      </w:pPr>
      <w:r>
        <w:rPr>
          <w:rFonts w:hint="default" w:ascii="Times New Roman" w:hAnsi="Times New Roman" w:eastAsia="方正小标宋简体" w:cs="Times New Roman"/>
          <w:b w:val="0"/>
          <w:bCs w:val="0"/>
          <w:sz w:val="36"/>
          <w:szCs w:val="36"/>
          <w:u w:val="none"/>
        </w:rPr>
        <w:t>新疆维吾尔自治区水利厅</w:t>
      </w:r>
    </w:p>
    <w:p>
      <w:pPr>
        <w:jc w:val="center"/>
        <w:rPr>
          <w:rFonts w:hint="default" w:ascii="Times New Roman" w:hAnsi="Times New Roman" w:eastAsia="方正小标宋简体" w:cs="Times New Roman"/>
          <w:b w:val="0"/>
          <w:bCs w:val="0"/>
          <w:sz w:val="36"/>
          <w:szCs w:val="36"/>
          <w:highlight w:val="none"/>
          <w:u w:val="none"/>
        </w:rPr>
      </w:pPr>
      <w:r>
        <w:rPr>
          <w:rFonts w:hint="default" w:ascii="Times New Roman" w:hAnsi="Times New Roman" w:eastAsia="方正小标宋简体" w:cs="Times New Roman"/>
          <w:b w:val="0"/>
          <w:bCs w:val="0"/>
          <w:sz w:val="36"/>
          <w:szCs w:val="36"/>
          <w:highlight w:val="none"/>
          <w:u w:val="none"/>
        </w:rPr>
        <w:t>202</w:t>
      </w:r>
      <w:r>
        <w:rPr>
          <w:rFonts w:hint="default" w:ascii="Times New Roman" w:hAnsi="Times New Roman" w:eastAsia="方正小标宋简体" w:cs="Times New Roman"/>
          <w:b w:val="0"/>
          <w:bCs w:val="0"/>
          <w:sz w:val="36"/>
          <w:szCs w:val="36"/>
          <w:highlight w:val="none"/>
          <w:u w:val="none"/>
          <w:lang w:val="en-US" w:eastAsia="zh-CN"/>
        </w:rPr>
        <w:t>6</w:t>
      </w:r>
      <w:r>
        <w:rPr>
          <w:rFonts w:hint="default" w:ascii="Times New Roman" w:hAnsi="Times New Roman" w:eastAsia="方正小标宋简体" w:cs="Times New Roman"/>
          <w:b w:val="0"/>
          <w:bCs w:val="0"/>
          <w:sz w:val="36"/>
          <w:szCs w:val="36"/>
          <w:highlight w:val="none"/>
          <w:u w:val="none"/>
        </w:rPr>
        <w:t>年</w:t>
      </w:r>
      <w:r>
        <w:rPr>
          <w:rFonts w:hint="default" w:ascii="Times New Roman" w:hAnsi="Times New Roman" w:eastAsia="方正小标宋简体" w:cs="Times New Roman"/>
          <w:b w:val="0"/>
          <w:bCs w:val="0"/>
          <w:sz w:val="36"/>
          <w:szCs w:val="36"/>
          <w:highlight w:val="none"/>
          <w:u w:val="none"/>
          <w:lang w:val="en-US" w:eastAsia="zh-CN"/>
        </w:rPr>
        <w:t>7</w:t>
      </w:r>
      <w:r>
        <w:rPr>
          <w:rFonts w:hint="default" w:ascii="Times New Roman" w:hAnsi="Times New Roman" w:eastAsia="方正小标宋简体" w:cs="Times New Roman"/>
          <w:b w:val="0"/>
          <w:bCs w:val="0"/>
          <w:sz w:val="36"/>
          <w:szCs w:val="36"/>
          <w:highlight w:val="none"/>
          <w:u w:val="none"/>
        </w:rPr>
        <w:t>月</w:t>
      </w:r>
    </w:p>
    <w:p>
      <w:pPr>
        <w:rPr>
          <w:rFonts w:hint="default" w:ascii="Times New Roman" w:hAnsi="Times New Roman" w:eastAsia="宋体" w:cs="Times New Roman"/>
          <w:b/>
          <w:bCs/>
          <w:sz w:val="36"/>
          <w:szCs w:val="36"/>
          <w:highlight w:val="none"/>
          <w:u w:val="none"/>
        </w:rPr>
      </w:pPr>
      <w:r>
        <w:rPr>
          <w:rFonts w:hint="default" w:ascii="Times New Roman" w:hAnsi="Times New Roman" w:eastAsia="宋体" w:cs="Times New Roman"/>
          <w:b/>
          <w:bCs/>
          <w:sz w:val="36"/>
          <w:szCs w:val="36"/>
          <w:highlight w:val="none"/>
          <w:u w:val="none"/>
        </w:rPr>
        <w:br w:type="page"/>
      </w:r>
    </w:p>
    <w:p>
      <w:pPr>
        <w:jc w:val="center"/>
        <w:rPr>
          <w:rFonts w:hint="default" w:ascii="Times New Roman" w:hAnsi="Times New Roman" w:eastAsia="宋体" w:cs="Times New Roman"/>
          <w:b/>
          <w:bCs/>
          <w:sz w:val="36"/>
          <w:szCs w:val="36"/>
          <w:u w:val="none"/>
        </w:rPr>
      </w:pPr>
    </w:p>
    <w:p>
      <w:pPr>
        <w:pStyle w:val="17"/>
        <w:keepNext w:val="0"/>
        <w:keepLines w:val="0"/>
        <w:pageBreakBefore w:val="0"/>
        <w:widowControl w:val="0"/>
        <w:kinsoku/>
        <w:wordWrap/>
        <w:overflowPunct/>
        <w:topLinePunct w:val="0"/>
        <w:autoSpaceDE/>
        <w:autoSpaceDN/>
        <w:bidi w:val="0"/>
        <w:adjustRightInd/>
        <w:snapToGrid/>
        <w:spacing w:line="560" w:lineRule="exact"/>
        <w:ind w:left="59" w:leftChars="-129" w:right="-482" w:rightChars="-219" w:hanging="343" w:hangingChars="78"/>
        <w:jc w:val="center"/>
        <w:textAlignment w:val="auto"/>
        <w:rPr>
          <w:rFonts w:hint="default" w:ascii="Times New Roman" w:hAnsi="Times New Roman" w:eastAsia="方正小标宋简体" w:cs="Times New Roman"/>
          <w:b w:val="0"/>
          <w:bCs w:val="0"/>
          <w:color w:val="000000"/>
          <w:sz w:val="44"/>
          <w:szCs w:val="44"/>
          <w:u w:val="none"/>
          <w:lang w:eastAsia="zh-CN"/>
        </w:rPr>
      </w:pPr>
      <w:r>
        <w:rPr>
          <w:rFonts w:hint="default" w:ascii="Times New Roman" w:hAnsi="Times New Roman" w:eastAsia="方正小标宋简体" w:cs="Times New Roman"/>
          <w:b w:val="0"/>
          <w:bCs w:val="0"/>
          <w:color w:val="000000"/>
          <w:sz w:val="44"/>
          <w:szCs w:val="44"/>
          <w:u w:val="none"/>
        </w:rPr>
        <w:t>《</w:t>
      </w:r>
      <w:r>
        <w:rPr>
          <w:rFonts w:hint="default" w:ascii="Times New Roman" w:hAnsi="Times New Roman" w:eastAsia="方正小标宋简体" w:cs="Times New Roman"/>
          <w:b w:val="0"/>
          <w:bCs w:val="0"/>
          <w:color w:val="000000"/>
          <w:sz w:val="44"/>
          <w:szCs w:val="44"/>
          <w:u w:val="none"/>
          <w:lang w:eastAsia="zh-CN"/>
        </w:rPr>
        <w:t>新疆维吾尔自治区水利工程建设信息化项目</w:t>
      </w:r>
    </w:p>
    <w:p>
      <w:pPr>
        <w:pStyle w:val="17"/>
        <w:keepNext w:val="0"/>
        <w:keepLines w:val="0"/>
        <w:pageBreakBefore w:val="0"/>
        <w:widowControl w:val="0"/>
        <w:kinsoku/>
        <w:wordWrap/>
        <w:overflowPunct/>
        <w:topLinePunct w:val="0"/>
        <w:autoSpaceDE/>
        <w:autoSpaceDN/>
        <w:bidi w:val="0"/>
        <w:adjustRightInd/>
        <w:snapToGrid/>
        <w:spacing w:line="560" w:lineRule="exact"/>
        <w:ind w:left="59" w:leftChars="-129" w:right="-482" w:rightChars="-219" w:hanging="343" w:hangingChars="78"/>
        <w:jc w:val="center"/>
        <w:textAlignment w:val="auto"/>
        <w:rPr>
          <w:rFonts w:hint="default" w:ascii="Times New Roman" w:hAnsi="Times New Roman" w:eastAsia="方正小标宋简体" w:cs="Times New Roman"/>
          <w:b w:val="0"/>
          <w:bCs w:val="0"/>
          <w:color w:val="000000"/>
          <w:sz w:val="44"/>
          <w:szCs w:val="44"/>
          <w:u w:val="none"/>
        </w:rPr>
      </w:pPr>
      <w:r>
        <w:rPr>
          <w:rFonts w:hint="default" w:ascii="Times New Roman" w:hAnsi="Times New Roman" w:eastAsia="方正小标宋简体" w:cs="Times New Roman"/>
          <w:b w:val="0"/>
          <w:bCs w:val="0"/>
          <w:color w:val="000000"/>
          <w:sz w:val="44"/>
          <w:szCs w:val="44"/>
          <w:u w:val="none"/>
          <w:lang w:eastAsia="zh-CN"/>
        </w:rPr>
        <w:t>采购招标评标导则</w:t>
      </w:r>
      <w:r>
        <w:rPr>
          <w:rFonts w:hint="default" w:ascii="Times New Roman" w:hAnsi="Times New Roman" w:eastAsia="方正小标宋简体" w:cs="Times New Roman"/>
          <w:b w:val="0"/>
          <w:bCs w:val="0"/>
          <w:color w:val="000000"/>
          <w:sz w:val="44"/>
          <w:szCs w:val="44"/>
          <w:u w:val="none"/>
        </w:rPr>
        <w:t>》</w:t>
      </w:r>
    </w:p>
    <w:p>
      <w:pPr>
        <w:pStyle w:val="17"/>
        <w:keepNext w:val="0"/>
        <w:keepLines w:val="0"/>
        <w:pageBreakBefore w:val="0"/>
        <w:widowControl w:val="0"/>
        <w:kinsoku/>
        <w:wordWrap/>
        <w:overflowPunct/>
        <w:topLinePunct w:val="0"/>
        <w:autoSpaceDE/>
        <w:autoSpaceDN/>
        <w:bidi w:val="0"/>
        <w:adjustRightInd/>
        <w:snapToGrid/>
        <w:spacing w:line="560" w:lineRule="exact"/>
        <w:ind w:left="59" w:leftChars="-129" w:right="-482" w:rightChars="-219" w:hanging="343" w:hangingChars="78"/>
        <w:jc w:val="center"/>
        <w:textAlignment w:val="auto"/>
        <w:rPr>
          <w:rFonts w:hint="default" w:ascii="Times New Roman" w:hAnsi="Times New Roman" w:eastAsia="方正小标宋简体" w:cs="Times New Roman"/>
          <w:b w:val="0"/>
          <w:bCs w:val="0"/>
          <w:sz w:val="44"/>
          <w:szCs w:val="44"/>
          <w:u w:val="none"/>
        </w:rPr>
      </w:pPr>
      <w:r>
        <w:rPr>
          <w:rFonts w:hint="default" w:ascii="Times New Roman" w:hAnsi="Times New Roman" w:eastAsia="方正小标宋简体" w:cs="Times New Roman"/>
          <w:b w:val="0"/>
          <w:bCs w:val="0"/>
          <w:color w:val="000000"/>
          <w:sz w:val="44"/>
          <w:szCs w:val="44"/>
          <w:u w:val="none"/>
        </w:rPr>
        <w:t>（征求意见稿）</w:t>
      </w:r>
    </w:p>
    <w:p>
      <w:pPr>
        <w:spacing w:line="240" w:lineRule="auto"/>
        <w:ind w:firstLine="880" w:firstLineChars="400"/>
        <w:rPr>
          <w:rFonts w:hint="default" w:ascii="Times New Roman" w:hAnsi="Times New Roman" w:eastAsia="宋体" w:cs="Times New Roman"/>
          <w:u w:val="none"/>
        </w:rPr>
      </w:pP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为规范新疆维吾尔自治区水利工程建设信息化项目采购的评标工作，提高评标质量，确保招标投标活动公平、公正、科学合理，保障招标投标各方的合法权益，根据《中华人民共和国招标投标法》《中华人民共和国招标投标法实施条例》及国家相关规定，结合本自治区实际，制定《新疆维吾尔自治区水利工程建设信息化项目采购招标评标导则》。</w:t>
      </w:r>
    </w:p>
    <w:p>
      <w:pPr>
        <w:pStyle w:val="2"/>
        <w:keepNext w:val="0"/>
        <w:keepLines w:val="0"/>
        <w:spacing w:before="0" w:after="0"/>
        <w:ind w:firstLine="640" w:firstLineChars="200"/>
        <w:rPr>
          <w:rFonts w:hint="default" w:ascii="Times New Roman" w:hAnsi="Times New Roman" w:eastAsia="黑体" w:cs="Times New Roman"/>
          <w:b w:val="0"/>
          <w:bCs w:val="0"/>
          <w:color w:val="auto"/>
          <w:sz w:val="32"/>
          <w:szCs w:val="32"/>
          <w:u w:val="none"/>
        </w:rPr>
      </w:pPr>
      <w:bookmarkStart w:id="0" w:name="_Toc211875776"/>
      <w:r>
        <w:rPr>
          <w:rFonts w:hint="default" w:ascii="Times New Roman" w:hAnsi="Times New Roman" w:eastAsia="黑体" w:cs="Times New Roman"/>
          <w:b w:val="0"/>
          <w:bCs w:val="0"/>
          <w:color w:val="auto"/>
          <w:sz w:val="32"/>
          <w:szCs w:val="32"/>
          <w:u w:val="none"/>
        </w:rPr>
        <w:t>一、适用范围</w:t>
      </w:r>
      <w:bookmarkEnd w:id="0"/>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lang w:eastAsia="zh-CN"/>
          <w14:ligatures w14:val="none"/>
        </w:rPr>
      </w:pPr>
      <w:r>
        <w:rPr>
          <w:rFonts w:hint="default" w:ascii="Times New Roman" w:hAnsi="Times New Roman" w:eastAsia="仿宋_GB2312" w:cs="Times New Roman"/>
          <w:color w:val="000000"/>
          <w:sz w:val="32"/>
          <w:szCs w:val="32"/>
          <w:u w:val="none"/>
          <w14:ligatures w14:val="none"/>
        </w:rPr>
        <w:t>本导则</w:t>
      </w:r>
      <w:r>
        <w:rPr>
          <w:rFonts w:hint="default" w:ascii="Times New Roman" w:hAnsi="Times New Roman" w:eastAsia="仿宋_GB2312" w:cs="Times New Roman"/>
          <w:color w:val="000000"/>
          <w:sz w:val="32"/>
          <w:szCs w:val="32"/>
          <w:u w:val="none"/>
          <w:lang w:val="en-US" w:eastAsia="zh-CN"/>
          <w14:ligatures w14:val="none"/>
        </w:rPr>
        <w:t>适</w:t>
      </w:r>
      <w:r>
        <w:rPr>
          <w:rFonts w:hint="default" w:ascii="Times New Roman" w:hAnsi="Times New Roman" w:eastAsia="仿宋_GB2312" w:cs="Times New Roman"/>
          <w:color w:val="000000"/>
          <w:sz w:val="32"/>
          <w:szCs w:val="32"/>
          <w:u w:val="none"/>
          <w14:ligatures w14:val="none"/>
        </w:rPr>
        <w:t>用于新疆维吾尔自治区水利工程建设信息化项目招标</w:t>
      </w:r>
      <w:r>
        <w:rPr>
          <w:rFonts w:hint="default" w:ascii="Times New Roman" w:hAnsi="Times New Roman" w:eastAsia="仿宋_GB2312" w:cs="Times New Roman"/>
          <w:color w:val="000000"/>
          <w:sz w:val="32"/>
          <w:szCs w:val="32"/>
          <w:u w:val="none"/>
          <w:lang w:eastAsia="zh-CN"/>
          <w14:ligatures w14:val="none"/>
        </w:rPr>
        <w:t>，</w:t>
      </w:r>
      <w:r>
        <w:rPr>
          <w:rFonts w:hint="default" w:ascii="Times New Roman" w:hAnsi="Times New Roman" w:eastAsia="仿宋_GB2312" w:cs="Times New Roman"/>
          <w:color w:val="000000"/>
          <w:sz w:val="32"/>
          <w:szCs w:val="32"/>
          <w:u w:val="none"/>
          <w14:ligatures w14:val="none"/>
        </w:rPr>
        <w:t>水利工程建设信息化项目包括货物、服务两类</w:t>
      </w:r>
      <w:r>
        <w:rPr>
          <w:rFonts w:hint="default" w:ascii="Times New Roman" w:hAnsi="Times New Roman" w:eastAsia="仿宋_GB2312" w:cs="Times New Roman"/>
          <w:color w:val="000000"/>
          <w:sz w:val="32"/>
          <w:szCs w:val="32"/>
          <w:u w:val="none"/>
          <w:lang w:eastAsia="zh-CN"/>
          <w14:ligatures w14:val="none"/>
        </w:rPr>
        <w:t>。</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货物指各种信息化系统所必需的形态和种类下的物品，包括原材料、设备、配件等，其具有实物形态。服务是指除信息化系统的货物和工程以外的其他采购对象，包括招标人自身需要的服务和招标人需要向社会公众提供的公共服务，如软件系统、咨询服务、设计服务、集成服务、安全服务、管理服务、技术服务等，通常不具有实物形态。</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如果采购需求主要是货物，且资金预算中的货物资金权重≥60%及以上，一般应定性为货物类项目；如果货物资金权重≤40%及以下，则应定性为服务类项目。</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黑体" w:cs="Times New Roman"/>
          <w:color w:val="000000"/>
          <w:sz w:val="32"/>
          <w:szCs w:val="32"/>
          <w:u w:val="none"/>
          <w:lang w:val="en-US" w:eastAsia="zh-CN"/>
          <w14:ligatures w14:val="none"/>
        </w:rPr>
      </w:pPr>
      <w:r>
        <w:rPr>
          <w:rFonts w:hint="default" w:ascii="Times New Roman" w:hAnsi="Times New Roman" w:eastAsia="黑体" w:cs="Times New Roman"/>
          <w:color w:val="000000"/>
          <w:sz w:val="32"/>
          <w:szCs w:val="32"/>
          <w:u w:val="none"/>
          <w:lang w:val="en-US" w:eastAsia="zh-CN"/>
          <w14:ligatures w14:val="none"/>
        </w:rPr>
        <w:t>二、评标方法与要求</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lang w:val="en-US" w:eastAsia="zh-CN"/>
          <w14:ligatures w14:val="none"/>
        </w:rPr>
      </w:pPr>
      <w:r>
        <w:rPr>
          <w:rFonts w:hint="default" w:ascii="Times New Roman" w:hAnsi="Times New Roman" w:eastAsia="仿宋_GB2312" w:cs="Times New Roman"/>
          <w:color w:val="000000"/>
          <w:sz w:val="32"/>
          <w:szCs w:val="32"/>
          <w:u w:val="none"/>
          <w14:ligatures w14:val="none"/>
        </w:rPr>
        <w:t>水利工程建设信息化项目</w:t>
      </w:r>
      <w:r>
        <w:rPr>
          <w:rFonts w:hint="default" w:ascii="Times New Roman" w:hAnsi="Times New Roman" w:eastAsia="仿宋_GB2312" w:cs="Times New Roman"/>
          <w:color w:val="000000"/>
          <w:sz w:val="32"/>
          <w:szCs w:val="32"/>
          <w:u w:val="none"/>
          <w:lang w:val="en-US" w:eastAsia="zh-CN"/>
          <w14:ligatures w14:val="none"/>
        </w:rPr>
        <w:t>评标采用综合评估法。</w:t>
      </w:r>
    </w:p>
    <w:p>
      <w:pPr>
        <w:pStyle w:val="3"/>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楷体" w:cs="Times New Roman"/>
          <w:b w:val="0"/>
          <w:bCs w:val="0"/>
          <w:color w:val="auto"/>
          <w:sz w:val="32"/>
          <w:szCs w:val="32"/>
          <w:u w:val="none"/>
          <w:lang w:val="en-US" w:eastAsia="zh-CN"/>
        </w:rPr>
      </w:pPr>
      <w:r>
        <w:rPr>
          <w:rFonts w:hint="default" w:ascii="Times New Roman" w:hAnsi="Times New Roman" w:eastAsia="楷体" w:cs="Times New Roman"/>
          <w:b w:val="0"/>
          <w:bCs w:val="0"/>
          <w:color w:val="auto"/>
          <w:sz w:val="32"/>
          <w:szCs w:val="32"/>
          <w:u w:val="none"/>
          <w:lang w:val="en-US" w:eastAsia="zh-CN"/>
        </w:rPr>
        <w:t>（一）招标文件题纲</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导则附件所列</w:t>
      </w:r>
      <w:r>
        <w:rPr>
          <w:rFonts w:hint="default" w:ascii="Times New Roman" w:hAnsi="Times New Roman" w:eastAsia="仿宋_GB2312" w:cs="Times New Roman"/>
          <w:color w:val="000000"/>
          <w:sz w:val="32"/>
          <w:szCs w:val="32"/>
          <w:u w:val="none"/>
          <w:lang w:eastAsia="zh-CN"/>
          <w14:ligatures w14:val="none"/>
        </w:rPr>
        <w:t>“</w:t>
      </w:r>
      <w:r>
        <w:rPr>
          <w:rFonts w:hint="default" w:ascii="Times New Roman" w:hAnsi="Times New Roman" w:eastAsia="仿宋_GB2312" w:cs="Times New Roman"/>
          <w:color w:val="000000"/>
          <w:sz w:val="32"/>
          <w:szCs w:val="32"/>
          <w:u w:val="none"/>
          <w14:ligatures w14:val="none"/>
        </w:rPr>
        <w:t>技术部分</w:t>
      </w:r>
      <w:r>
        <w:rPr>
          <w:rFonts w:hint="default" w:ascii="Times New Roman" w:hAnsi="Times New Roman" w:eastAsia="仿宋_GB2312" w:cs="Times New Roman"/>
          <w:color w:val="000000"/>
          <w:sz w:val="32"/>
          <w:szCs w:val="32"/>
          <w:u w:val="none"/>
          <w:lang w:eastAsia="zh-CN"/>
          <w14:ligatures w14:val="none"/>
        </w:rPr>
        <w:t>”“</w:t>
      </w:r>
      <w:r>
        <w:rPr>
          <w:rFonts w:hint="default" w:ascii="Times New Roman" w:hAnsi="Times New Roman" w:eastAsia="仿宋_GB2312" w:cs="Times New Roman"/>
          <w:color w:val="000000"/>
          <w:sz w:val="32"/>
          <w:szCs w:val="32"/>
          <w:u w:val="none"/>
          <w14:ligatures w14:val="none"/>
        </w:rPr>
        <w:t>商务部分</w:t>
      </w:r>
      <w:r>
        <w:rPr>
          <w:rFonts w:hint="default" w:ascii="Times New Roman" w:hAnsi="Times New Roman" w:eastAsia="仿宋_GB2312" w:cs="Times New Roman"/>
          <w:color w:val="000000"/>
          <w:sz w:val="32"/>
          <w:szCs w:val="32"/>
          <w:u w:val="none"/>
          <w:lang w:eastAsia="zh-CN"/>
          <w14:ligatures w14:val="none"/>
        </w:rPr>
        <w:t>”</w:t>
      </w:r>
      <w:r>
        <w:rPr>
          <w:rFonts w:hint="default" w:ascii="Times New Roman" w:hAnsi="Times New Roman" w:eastAsia="仿宋_GB2312" w:cs="Times New Roman"/>
          <w:color w:val="000000"/>
          <w:sz w:val="32"/>
          <w:szCs w:val="32"/>
          <w:u w:val="none"/>
          <w14:ligatures w14:val="none"/>
        </w:rPr>
        <w:t>的二级标题，为</w:t>
      </w:r>
      <w:r>
        <w:rPr>
          <w:rFonts w:hint="default" w:ascii="Times New Roman" w:hAnsi="Times New Roman" w:eastAsia="仿宋_GB2312" w:cs="Times New Roman"/>
          <w:color w:val="000000"/>
          <w:sz w:val="32"/>
          <w:szCs w:val="32"/>
          <w:u w:val="none"/>
          <w:lang w:val="en-US" w:eastAsia="zh-CN"/>
          <w14:ligatures w14:val="none"/>
        </w:rPr>
        <w:t>招标文件编制提纲的</w:t>
      </w:r>
      <w:r>
        <w:rPr>
          <w:rFonts w:hint="default" w:ascii="Times New Roman" w:hAnsi="Times New Roman" w:eastAsia="仿宋_GB2312" w:cs="Times New Roman"/>
          <w:color w:val="000000"/>
          <w:sz w:val="32"/>
          <w:szCs w:val="32"/>
          <w:u w:val="none"/>
          <w14:ligatures w14:val="none"/>
        </w:rPr>
        <w:t>必选项，应原文引用，不得删改。</w:t>
      </w:r>
    </w:p>
    <w:p>
      <w:pPr>
        <w:pStyle w:val="3"/>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楷体" w:cs="Times New Roman"/>
          <w:b w:val="0"/>
          <w:bCs w:val="0"/>
          <w:color w:val="auto"/>
          <w:sz w:val="32"/>
          <w:szCs w:val="32"/>
          <w:u w:val="none"/>
          <w:lang w:val="en-US" w:eastAsia="zh-CN"/>
        </w:rPr>
      </w:pPr>
      <w:r>
        <w:rPr>
          <w:rFonts w:hint="default" w:ascii="Times New Roman" w:hAnsi="Times New Roman" w:eastAsia="楷体" w:cs="Times New Roman"/>
          <w:b w:val="0"/>
          <w:bCs w:val="0"/>
          <w:color w:val="auto"/>
          <w:sz w:val="32"/>
          <w:szCs w:val="32"/>
          <w:u w:val="none"/>
          <w:lang w:val="en-US" w:eastAsia="zh-CN"/>
        </w:rPr>
        <w:t>（二）评价要点界定</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lang w:val="en-US" w:eastAsia="zh-CN"/>
          <w14:ligatures w14:val="none"/>
        </w:rPr>
      </w:pPr>
      <w:r>
        <w:rPr>
          <w:rFonts w:hint="default" w:ascii="Times New Roman" w:hAnsi="Times New Roman" w:eastAsia="仿宋_GB2312" w:cs="Times New Roman"/>
          <w:color w:val="000000"/>
          <w:sz w:val="32"/>
          <w:szCs w:val="32"/>
          <w:u w:val="none"/>
          <w:lang w:val="en-US" w:eastAsia="zh-CN"/>
          <w14:ligatures w14:val="none"/>
        </w:rPr>
        <w:t>导则附件中“技术部分”“商务部分”二级标题所设评价要点，招标人可依据实际需要，自主择优选用。所选评价要点不得变更核心评价内容。</w:t>
      </w:r>
    </w:p>
    <w:p>
      <w:pPr>
        <w:pStyle w:val="3"/>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楷体" w:cs="Times New Roman"/>
          <w:b w:val="0"/>
          <w:bCs w:val="0"/>
          <w:color w:val="auto"/>
          <w:sz w:val="32"/>
          <w:szCs w:val="32"/>
          <w:u w:val="none"/>
          <w:lang w:val="en-US" w:eastAsia="zh-CN"/>
        </w:rPr>
      </w:pPr>
      <w:r>
        <w:rPr>
          <w:rFonts w:hint="default" w:ascii="Times New Roman" w:hAnsi="Times New Roman" w:eastAsia="楷体" w:cs="Times New Roman"/>
          <w:b w:val="0"/>
          <w:bCs w:val="0"/>
          <w:color w:val="auto"/>
          <w:sz w:val="32"/>
          <w:szCs w:val="32"/>
          <w:u w:val="none"/>
          <w:lang w:val="en-US" w:eastAsia="zh-CN"/>
        </w:rPr>
        <w:t>（三）评分标准要求</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lang w:val="en-US" w:eastAsia="zh-CN"/>
          <w14:ligatures w14:val="none"/>
        </w:rPr>
      </w:pPr>
      <w:r>
        <w:rPr>
          <w:rFonts w:hint="default" w:ascii="Times New Roman" w:hAnsi="Times New Roman" w:eastAsia="仿宋_GB2312" w:cs="Times New Roman"/>
          <w:color w:val="000000"/>
          <w:sz w:val="32"/>
          <w:szCs w:val="32"/>
          <w:u w:val="none"/>
          <w:lang w:val="en-US" w:eastAsia="zh-CN"/>
          <w14:ligatures w14:val="none"/>
        </w:rPr>
        <w:t>招标文件中评价要点须逐项制定“满足、基本满足、不满足”三个等次赋分标准，应合理设置评分区间，不得使用模糊用语。</w:t>
      </w:r>
    </w:p>
    <w:p>
      <w:pPr>
        <w:pStyle w:val="3"/>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楷体" w:cs="Times New Roman"/>
          <w:b w:val="0"/>
          <w:bCs w:val="0"/>
          <w:color w:val="auto"/>
          <w:sz w:val="32"/>
          <w:szCs w:val="32"/>
          <w:u w:val="none"/>
          <w:lang w:val="en-US" w:eastAsia="zh-CN"/>
        </w:rPr>
      </w:pPr>
      <w:r>
        <w:rPr>
          <w:rFonts w:hint="default" w:ascii="Times New Roman" w:hAnsi="Times New Roman" w:eastAsia="楷体" w:cs="Times New Roman"/>
          <w:b w:val="0"/>
          <w:bCs w:val="0"/>
          <w:color w:val="auto"/>
          <w:sz w:val="32"/>
          <w:szCs w:val="32"/>
          <w:u w:val="none"/>
          <w:lang w:val="en-US" w:eastAsia="zh-CN"/>
        </w:rPr>
        <w:t>（四）招标产品要求</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lang w:eastAsia="zh-CN"/>
          <w14:ligatures w14:val="none"/>
        </w:rPr>
      </w:pPr>
      <w:r>
        <w:rPr>
          <w:rFonts w:hint="default" w:ascii="Times New Roman" w:hAnsi="Times New Roman" w:eastAsia="仿宋_GB2312" w:cs="Times New Roman"/>
          <w:color w:val="000000"/>
          <w:sz w:val="32"/>
          <w:szCs w:val="32"/>
          <w:u w:val="none"/>
          <w14:ligatures w14:val="none"/>
        </w:rPr>
        <w:t>水利信息化项目采购的软硬件产品、技术和服务须符合国家和水利行业有关要求，确保采购正版软件，优先选用国产产品</w:t>
      </w:r>
      <w:r>
        <w:rPr>
          <w:rFonts w:hint="default" w:ascii="Times New Roman" w:hAnsi="Times New Roman" w:eastAsia="仿宋_GB2312" w:cs="Times New Roman"/>
          <w:color w:val="000000"/>
          <w:sz w:val="32"/>
          <w:szCs w:val="32"/>
          <w:u w:val="none"/>
          <w:lang w:eastAsia="zh-CN"/>
          <w14:ligatures w14:val="none"/>
        </w:rPr>
        <w:t>。</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color w:val="000000"/>
          <w:sz w:val="32"/>
          <w:szCs w:val="32"/>
          <w:u w:val="none"/>
          <w:lang w:val="en-US" w:eastAsia="zh-CN"/>
          <w14:ligatures w14:val="none"/>
        </w:rPr>
        <w:t>招标人</w:t>
      </w:r>
      <w:r>
        <w:rPr>
          <w:rFonts w:hint="default" w:ascii="Times New Roman" w:hAnsi="Times New Roman" w:eastAsia="仿宋_GB2312" w:cs="Times New Roman"/>
          <w:color w:val="000000"/>
          <w:sz w:val="32"/>
          <w:szCs w:val="32"/>
          <w:u w:val="none"/>
          <w:lang w:eastAsia="zh-CN"/>
          <w14:ligatures w14:val="none"/>
        </w:rPr>
        <w:t>需要采购的产品在中国境内无法获取或者无法以合理的商业条件获取，以及法律法规另有规定确需采购进口产品的，</w:t>
      </w:r>
      <w:r>
        <w:rPr>
          <w:rFonts w:hint="default" w:ascii="Times New Roman" w:hAnsi="Times New Roman" w:eastAsia="仿宋_GB2312" w:cs="Times New Roman"/>
          <w:color w:val="000000"/>
          <w:sz w:val="32"/>
          <w:szCs w:val="32"/>
          <w:u w:val="none"/>
          <w14:ligatures w14:val="none"/>
        </w:rPr>
        <w:t>应</w:t>
      </w:r>
      <w:r>
        <w:rPr>
          <w:rFonts w:hint="default" w:ascii="Times New Roman" w:hAnsi="Times New Roman" w:eastAsia="仿宋_GB2312" w:cs="Times New Roman"/>
          <w:color w:val="000000"/>
          <w:sz w:val="32"/>
          <w:szCs w:val="32"/>
          <w:u w:val="none"/>
          <w:lang w:val="en-US" w:eastAsia="zh-CN"/>
          <w14:ligatures w14:val="none"/>
        </w:rPr>
        <w:t>按照《政府采购进口产品管理办法》（财库﹝2007﹞119号）的要求</w:t>
      </w:r>
      <w:r>
        <w:rPr>
          <w:rFonts w:hint="default" w:ascii="Times New Roman" w:hAnsi="Times New Roman" w:eastAsia="仿宋_GB2312" w:cs="Times New Roman"/>
          <w:color w:val="000000"/>
          <w:sz w:val="32"/>
          <w:szCs w:val="32"/>
          <w:u w:val="none"/>
          <w14:ligatures w14:val="none"/>
        </w:rPr>
        <w:t>履行相关手续</w:t>
      </w:r>
      <w:r>
        <w:rPr>
          <w:rFonts w:hint="default" w:ascii="Times New Roman" w:hAnsi="Times New Roman" w:eastAsia="仿宋_GB2312" w:cs="Times New Roman"/>
          <w:color w:val="000000"/>
          <w:sz w:val="32"/>
          <w:szCs w:val="32"/>
          <w:u w:val="none"/>
          <w:lang w:val="en-US" w:eastAsia="zh-CN"/>
          <w14:ligatures w14:val="none"/>
        </w:rPr>
        <w:t>并</w:t>
      </w:r>
      <w:r>
        <w:rPr>
          <w:rFonts w:hint="default" w:ascii="Times New Roman" w:hAnsi="Times New Roman" w:eastAsia="仿宋_GB2312" w:cs="Times New Roman"/>
          <w:color w:val="000000"/>
          <w:sz w:val="32"/>
          <w:szCs w:val="32"/>
          <w:u w:val="none"/>
          <w:lang w:eastAsia="zh-CN"/>
          <w14:ligatures w14:val="none"/>
        </w:rPr>
        <w:t>获得财政部门核准后，依法开展政府采购活动。</w:t>
      </w:r>
      <w:r>
        <w:rPr>
          <w:rFonts w:hint="default" w:ascii="Times New Roman" w:hAnsi="Times New Roman" w:eastAsia="仿宋_GB2312" w:cs="Times New Roman"/>
          <w:color w:val="000000"/>
          <w:sz w:val="32"/>
          <w:szCs w:val="32"/>
          <w:u w:val="none"/>
          <w:lang w:val="en-US" w:eastAsia="zh-CN"/>
          <w14:ligatures w14:val="none"/>
        </w:rPr>
        <w:t>招标人</w:t>
      </w:r>
      <w:r>
        <w:rPr>
          <w:rFonts w:hint="default" w:ascii="Times New Roman" w:hAnsi="Times New Roman" w:eastAsia="仿宋_GB2312" w:cs="Times New Roman"/>
          <w:color w:val="000000"/>
          <w:sz w:val="32"/>
          <w:szCs w:val="32"/>
          <w:u w:val="none"/>
          <w:lang w:eastAsia="zh-CN"/>
          <w14:ligatures w14:val="none"/>
        </w:rPr>
        <w:t>及其委托的采购代理机构在采购进口产品的采购文件中应当载明优先采购向我国企业转让技术、与我国企业签订消化吸收再创新方案的供应商的进口产品。</w:t>
      </w:r>
    </w:p>
    <w:p>
      <w:pPr>
        <w:pStyle w:val="2"/>
        <w:keepNext w:val="0"/>
        <w:keepLines w:val="0"/>
        <w:spacing w:before="0" w:after="0"/>
        <w:ind w:firstLine="640" w:firstLineChars="200"/>
        <w:rPr>
          <w:rFonts w:hint="default" w:ascii="Times New Roman" w:hAnsi="Times New Roman" w:eastAsia="黑体" w:cs="Times New Roman"/>
          <w:b w:val="0"/>
          <w:bCs w:val="0"/>
          <w:color w:val="auto"/>
          <w:sz w:val="32"/>
          <w:szCs w:val="32"/>
          <w:u w:val="none"/>
        </w:rPr>
      </w:pPr>
      <w:bookmarkStart w:id="1" w:name="_Toc211875777"/>
      <w:r>
        <w:rPr>
          <w:rFonts w:hint="default" w:ascii="Times New Roman" w:hAnsi="Times New Roman" w:eastAsia="黑体" w:cs="Times New Roman"/>
          <w:b w:val="0"/>
          <w:bCs w:val="0"/>
          <w:color w:val="auto"/>
          <w:sz w:val="32"/>
          <w:szCs w:val="32"/>
          <w:u w:val="none"/>
          <w:lang w:val="en-US" w:eastAsia="zh-CN"/>
        </w:rPr>
        <w:t>三</w:t>
      </w:r>
      <w:r>
        <w:rPr>
          <w:rFonts w:hint="default" w:ascii="Times New Roman" w:hAnsi="Times New Roman" w:eastAsia="黑体" w:cs="Times New Roman"/>
          <w:b w:val="0"/>
          <w:bCs w:val="0"/>
          <w:color w:val="auto"/>
          <w:sz w:val="32"/>
          <w:szCs w:val="32"/>
          <w:u w:val="none"/>
        </w:rPr>
        <w:t>、评标委员会的组建</w:t>
      </w:r>
      <w:bookmarkEnd w:id="1"/>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评标由招标人依法组建的评标委员会负责。评标委员会由招标人代表和有关技术、经济等方面的专家组成，成员人数为五人及以上单数。技术、经济等方面的专家不得少于成员总数的三分之二。</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有下列情形之一的，不得担任评标委员会成员：</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（一）投标人或者投标人主要负责人的近亲属；</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（二）项目主管部门或者行政监督部门的人员；</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（三）与投标人有经济利益关系，可能影响对投标公正评审的；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（四）曾因在招标、评标以及其他与招标投标有关活动中从事违法行为而受过行政处罚或刑事处罚的。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评标委员会成员有前款规定情形之一的，应当主动提出回避。</w:t>
      </w:r>
    </w:p>
    <w:p>
      <w:pPr>
        <w:pStyle w:val="2"/>
        <w:keepNext w:val="0"/>
        <w:keepLines w:val="0"/>
        <w:spacing w:before="0" w:after="0"/>
        <w:ind w:firstLine="640" w:firstLineChars="200"/>
        <w:rPr>
          <w:rFonts w:hint="default" w:ascii="Times New Roman" w:hAnsi="Times New Roman" w:eastAsia="黑体" w:cs="Times New Roman"/>
          <w:b w:val="0"/>
          <w:bCs w:val="0"/>
          <w:color w:val="auto"/>
          <w:sz w:val="32"/>
          <w:szCs w:val="32"/>
          <w:u w:val="none"/>
        </w:rPr>
      </w:pPr>
      <w:bookmarkStart w:id="2" w:name="_Toc211875778"/>
      <w:r>
        <w:rPr>
          <w:rFonts w:hint="default" w:ascii="Times New Roman" w:hAnsi="Times New Roman" w:eastAsia="黑体" w:cs="Times New Roman"/>
          <w:b w:val="0"/>
          <w:bCs w:val="0"/>
          <w:color w:val="auto"/>
          <w:sz w:val="32"/>
          <w:szCs w:val="32"/>
          <w:u w:val="none"/>
          <w:lang w:val="en-US" w:eastAsia="zh-CN"/>
        </w:rPr>
        <w:t>四</w:t>
      </w:r>
      <w:r>
        <w:rPr>
          <w:rFonts w:hint="default" w:ascii="Times New Roman" w:hAnsi="Times New Roman" w:eastAsia="黑体" w:cs="Times New Roman"/>
          <w:b w:val="0"/>
          <w:bCs w:val="0"/>
          <w:color w:val="auto"/>
          <w:sz w:val="32"/>
          <w:szCs w:val="32"/>
          <w:u w:val="none"/>
        </w:rPr>
        <w:t>、评审</w:t>
      </w:r>
      <w:bookmarkEnd w:id="2"/>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投标人应按照《水利部关于印发〈水利建设市场经营主体信用信息管理办法〉的通知》（水建设〔2024〕201号）的规定，在全国水利建设市场监管平台建立信息档案，如实填报基础登记信息、运营信息、行政奖励信息、社会评价信息和其他信息。评标委员会在评标评审中，应查询全国水利建设市场监管平台投标人公示信息进行核对，投标人投标文件与全国水利建设市场监管平台公示不一致的人员资格、业绩、投标人业绩、社会评价信息、行政奖励信息等影响评标结果的信息，在评标委员会评标评审中不予认定。</w:t>
      </w:r>
    </w:p>
    <w:p>
      <w:pPr>
        <w:pStyle w:val="3"/>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楷体" w:cs="Times New Roman"/>
          <w:b w:val="0"/>
          <w:bCs w:val="0"/>
          <w:color w:val="auto"/>
          <w:sz w:val="32"/>
          <w:szCs w:val="32"/>
          <w:u w:val="none"/>
        </w:rPr>
      </w:pPr>
      <w:bookmarkStart w:id="3" w:name="_Toc211875779"/>
      <w:r>
        <w:rPr>
          <w:rFonts w:hint="default" w:ascii="Times New Roman" w:hAnsi="Times New Roman" w:eastAsia="楷体" w:cs="Times New Roman"/>
          <w:b w:val="0"/>
          <w:bCs w:val="0"/>
          <w:color w:val="auto"/>
          <w:sz w:val="32"/>
          <w:szCs w:val="32"/>
          <w:u w:val="none"/>
        </w:rPr>
        <w:t>（一）资格评审</w:t>
      </w:r>
      <w:bookmarkEnd w:id="3"/>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1.采用资格预审的，组建资格审查委员会，按照资格预审文件载明的标准和方法对投标人进行资格预审。</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kern w:val="2"/>
          <w:sz w:val="32"/>
          <w:szCs w:val="32"/>
          <w14:ligatures w14:val="none"/>
        </w:rPr>
      </w:pPr>
      <w:r>
        <w:rPr>
          <w:rFonts w:hint="default" w:ascii="Times New Roman" w:hAnsi="Times New Roman" w:eastAsia="仿宋_GB2312" w:cs="Times New Roman"/>
          <w:color w:val="000000"/>
          <w:sz w:val="32"/>
          <w:szCs w:val="32"/>
          <w:u w:val="none"/>
          <w14:ligatures w14:val="none"/>
        </w:rPr>
        <w:t>2.采用资格后审的，组建评标委员会，对所有投标人的投标资格进行审查。</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由招标人自主选择是否对通过资格审查的投标人的项目经理进行现场答辩的考核。</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color w:val="0F1115"/>
          <w:kern w:val="2"/>
          <w:sz w:val="32"/>
          <w:szCs w:val="32"/>
          <w:lang w:val="en-US" w:eastAsia="zh-CN" w:bidi="ar-SA"/>
        </w:rPr>
        <w:t>三项总分采用百分制，权重分配如下：</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①</w:t>
      </w:r>
      <w:r>
        <w:rPr>
          <w:rFonts w:hint="default" w:ascii="Times New Roman" w:hAnsi="Times New Roman" w:eastAsia="仿宋_GB2312" w:cs="Times New Roman"/>
          <w:color w:val="0F1115"/>
          <w:kern w:val="2"/>
          <w:sz w:val="32"/>
          <w:szCs w:val="32"/>
          <w:lang w:val="en-US" w:eastAsia="zh-CN" w:bidi="ar-SA"/>
        </w:rPr>
        <w:t>公开报价暂定得分：占比</w:t>
      </w:r>
      <w:r>
        <w:rPr>
          <w:rFonts w:hint="default" w:ascii="Times New Roman" w:hAnsi="Times New Roman" w:eastAsia="仿宋_GB2312" w:cs="Times New Roman"/>
          <w:kern w:val="2"/>
          <w:sz w:val="32"/>
          <w:szCs w:val="32"/>
          <w:lang w:val="en-US" w:eastAsia="zh-CN" w:bidi="ar-SA"/>
        </w:rPr>
        <w:t>6</w:t>
      </w:r>
      <w:r>
        <w:rPr>
          <w:rFonts w:hint="default" w:ascii="Times New Roman" w:hAnsi="Times New Roman" w:eastAsia="仿宋_GB2312" w:cs="Times New Roman"/>
          <w:color w:val="0F1115"/>
          <w:kern w:val="2"/>
          <w:sz w:val="32"/>
          <w:szCs w:val="32"/>
          <w:lang w:val="en-US" w:eastAsia="zh-CN" w:bidi="ar-SA"/>
        </w:rPr>
        <w:t>0%；</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②</w:t>
      </w:r>
      <w:r>
        <w:rPr>
          <w:rFonts w:hint="default" w:ascii="Times New Roman" w:hAnsi="Times New Roman" w:eastAsia="仿宋_GB2312" w:cs="Times New Roman"/>
          <w:color w:val="0F1115"/>
          <w:kern w:val="2"/>
          <w:sz w:val="32"/>
          <w:szCs w:val="32"/>
          <w:lang w:val="en-US" w:eastAsia="zh-CN" w:bidi="ar-SA"/>
        </w:rPr>
        <w:t>全国水利建设市场管理评价分：占比</w:t>
      </w:r>
      <w:r>
        <w:rPr>
          <w:rFonts w:hint="default" w:ascii="Times New Roman" w:hAnsi="Times New Roman" w:eastAsia="仿宋_GB2312" w:cs="Times New Roman"/>
          <w:kern w:val="2"/>
          <w:sz w:val="32"/>
          <w:szCs w:val="32"/>
          <w:lang w:val="en-US" w:eastAsia="zh-CN" w:bidi="ar-SA"/>
        </w:rPr>
        <w:t>30</w:t>
      </w:r>
      <w:r>
        <w:rPr>
          <w:rFonts w:hint="default" w:ascii="Times New Roman" w:hAnsi="Times New Roman" w:eastAsia="仿宋_GB2312" w:cs="Times New Roman"/>
          <w:color w:val="0F1115"/>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③</w:t>
      </w:r>
      <w:r>
        <w:rPr>
          <w:rFonts w:hint="default" w:ascii="Times New Roman" w:hAnsi="Times New Roman" w:eastAsia="仿宋_GB2312" w:cs="Times New Roman"/>
          <w:color w:val="0F1115"/>
          <w:kern w:val="2"/>
          <w:sz w:val="32"/>
          <w:szCs w:val="32"/>
          <w:lang w:val="en-US" w:eastAsia="zh-CN" w:bidi="ar-SA"/>
        </w:rPr>
        <w:t>全国水利建设市场主体信用等级评分：占比</w:t>
      </w:r>
      <w:r>
        <w:rPr>
          <w:rFonts w:hint="default" w:ascii="Times New Roman" w:hAnsi="Times New Roman" w:eastAsia="仿宋_GB2312" w:cs="Times New Roman"/>
          <w:kern w:val="2"/>
          <w:sz w:val="32"/>
          <w:szCs w:val="32"/>
          <w:lang w:val="en-US" w:eastAsia="zh-CN" w:bidi="ar-SA"/>
        </w:rPr>
        <w:t>10</w:t>
      </w:r>
      <w:r>
        <w:rPr>
          <w:rFonts w:hint="default" w:ascii="Times New Roman" w:hAnsi="Times New Roman" w:eastAsia="仿宋_GB2312" w:cs="Times New Roman"/>
          <w:color w:val="0F1115"/>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color w:val="0F1115"/>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color w:val="0F1115"/>
          <w:kern w:val="2"/>
          <w:sz w:val="32"/>
          <w:szCs w:val="32"/>
          <w:lang w:val="en-US" w:eastAsia="zh-CN" w:bidi="ar-SA"/>
        </w:rPr>
        <w:t>具体计算方式如下：</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color w:val="0F1115"/>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①</w:t>
      </w:r>
      <w:r>
        <w:rPr>
          <w:rFonts w:hint="default" w:ascii="Times New Roman" w:hAnsi="Times New Roman" w:eastAsia="仿宋_GB2312" w:cs="Times New Roman"/>
          <w:color w:val="0F1115"/>
          <w:kern w:val="2"/>
          <w:sz w:val="32"/>
          <w:szCs w:val="32"/>
          <w:highlight w:val="none"/>
          <w:lang w:val="en-US" w:eastAsia="zh-CN" w:bidi="ar-SA"/>
        </w:rPr>
        <w:t>公开报价暂定得分（满分</w:t>
      </w:r>
      <w:r>
        <w:rPr>
          <w:rFonts w:hint="default" w:ascii="Times New Roman" w:hAnsi="Times New Roman" w:eastAsia="仿宋_GB2312" w:cs="Times New Roman"/>
          <w:kern w:val="2"/>
          <w:sz w:val="32"/>
          <w:szCs w:val="32"/>
          <w:highlight w:val="none"/>
          <w:lang w:val="en-US" w:eastAsia="zh-CN" w:bidi="ar-SA"/>
        </w:rPr>
        <w:t>6</w:t>
      </w:r>
      <w:r>
        <w:rPr>
          <w:rFonts w:hint="default" w:ascii="Times New Roman" w:hAnsi="Times New Roman" w:eastAsia="仿宋_GB2312" w:cs="Times New Roman"/>
          <w:color w:val="0F1115"/>
          <w:kern w:val="2"/>
          <w:sz w:val="32"/>
          <w:szCs w:val="32"/>
          <w:highlight w:val="none"/>
          <w:lang w:val="en-US" w:eastAsia="zh-CN" w:bidi="ar-SA"/>
        </w:rPr>
        <w:t>0分）</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color w:val="0F1115"/>
          <w:kern w:val="2"/>
          <w:sz w:val="32"/>
          <w:szCs w:val="32"/>
          <w:highlight w:val="none"/>
          <w:lang w:val="en-US" w:eastAsia="zh-CN" w:bidi="ar-SA"/>
        </w:rPr>
        <w:t>按照招标文件规定的报价评分方法，计算出各投标人的报价得分后，按照权重分配比例计算公开报价暂定得分。</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②</w:t>
      </w:r>
      <w:r>
        <w:rPr>
          <w:rFonts w:hint="default" w:ascii="Times New Roman" w:hAnsi="Times New Roman" w:eastAsia="仿宋_GB2312" w:cs="Times New Roman"/>
          <w:color w:val="0F1115"/>
          <w:kern w:val="2"/>
          <w:sz w:val="32"/>
          <w:szCs w:val="32"/>
          <w:highlight w:val="none"/>
          <w:lang w:val="en-US" w:eastAsia="zh-CN" w:bidi="ar-SA"/>
        </w:rPr>
        <w:t>全国水利建设市场管理评价得分（满分</w:t>
      </w:r>
      <w:r>
        <w:rPr>
          <w:rFonts w:hint="default" w:ascii="Times New Roman" w:hAnsi="Times New Roman" w:eastAsia="仿宋_GB2312" w:cs="Times New Roman"/>
          <w:kern w:val="2"/>
          <w:sz w:val="32"/>
          <w:szCs w:val="32"/>
          <w:highlight w:val="none"/>
          <w:lang w:val="en-US" w:eastAsia="zh-CN" w:bidi="ar-SA"/>
        </w:rPr>
        <w:t>30</w:t>
      </w:r>
      <w:r>
        <w:rPr>
          <w:rFonts w:hint="default" w:ascii="Times New Roman" w:hAnsi="Times New Roman" w:eastAsia="仿宋_GB2312" w:cs="Times New Roman"/>
          <w:color w:val="0F1115"/>
          <w:kern w:val="2"/>
          <w:sz w:val="32"/>
          <w:szCs w:val="32"/>
          <w:highlight w:val="none"/>
          <w:lang w:val="en-US" w:eastAsia="zh-CN" w:bidi="ar-SA"/>
        </w:rPr>
        <w:t>分）</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color w:val="0F1115"/>
          <w:kern w:val="2"/>
          <w:sz w:val="32"/>
          <w:szCs w:val="32"/>
          <w:highlight w:val="none"/>
          <w:lang w:val="en-US" w:eastAsia="zh-CN" w:bidi="ar-SA"/>
        </w:rPr>
        <w:t>依据全国水利建设市场监管平台上受到各级水行政主管部门公示的失信信息，按照评分办法中商务部分的“市场监管行为评价扣分标准”，逐项扣分后得出。</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③</w:t>
      </w:r>
      <w:r>
        <w:rPr>
          <w:rFonts w:hint="default" w:ascii="Times New Roman" w:hAnsi="Times New Roman" w:eastAsia="仿宋_GB2312" w:cs="Times New Roman"/>
          <w:color w:val="0F1115"/>
          <w:kern w:val="2"/>
          <w:sz w:val="32"/>
          <w:szCs w:val="32"/>
          <w:lang w:val="en-US" w:eastAsia="zh-CN" w:bidi="ar-SA"/>
        </w:rPr>
        <w:t>全国水利建设市场主体信用等级评分（满分</w:t>
      </w:r>
      <w:r>
        <w:rPr>
          <w:rFonts w:hint="default" w:ascii="Times New Roman" w:hAnsi="Times New Roman" w:eastAsia="仿宋_GB2312" w:cs="Times New Roman"/>
          <w:kern w:val="2"/>
          <w:sz w:val="32"/>
          <w:szCs w:val="32"/>
          <w:lang w:val="en-US" w:eastAsia="zh-CN" w:bidi="ar-SA"/>
        </w:rPr>
        <w:t>10</w:t>
      </w:r>
      <w:r>
        <w:rPr>
          <w:rFonts w:hint="default" w:ascii="Times New Roman" w:hAnsi="Times New Roman" w:eastAsia="仿宋_GB2312" w:cs="Times New Roman"/>
          <w:color w:val="0F1115"/>
          <w:kern w:val="2"/>
          <w:sz w:val="32"/>
          <w:szCs w:val="32"/>
          <w:lang w:val="en-US" w:eastAsia="zh-CN" w:bidi="ar-SA"/>
        </w:rPr>
        <w:t>分）</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F1115"/>
          <w:kern w:val="2"/>
          <w:sz w:val="32"/>
          <w:szCs w:val="32"/>
          <w:lang w:val="en-US" w:eastAsia="zh-CN" w:bidi="ar-SA"/>
        </w:rPr>
        <w:t>依据全国水利建设市场监管平台公示的信用评价结果，按梯度转换为对应分值，具体如下：</w:t>
      </w:r>
    </w:p>
    <w:tbl>
      <w:tblPr>
        <w:tblStyle w:val="19"/>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832"/>
        <w:gridCol w:w="1630"/>
        <w:gridCol w:w="1655"/>
        <w:gridCol w:w="1540"/>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1832" w:type="dxa"/>
            <w:noWrap w:val="0"/>
            <w:tcMar>
              <w:top w:w="120" w:type="dxa"/>
              <w:left w:w="0" w:type="dxa"/>
              <w:bottom w:w="120" w:type="dxa"/>
              <w:right w:w="192" w:type="dxa"/>
            </w:tcMar>
            <w:vAlign w:val="center"/>
          </w:tcPr>
          <w:p>
            <w:pPr>
              <w:widowControl w:val="0"/>
              <w:spacing w:before="100" w:beforeAutospacing="1" w:after="100" w:afterAutospacing="1" w:line="240" w:lineRule="auto"/>
              <w:jc w:val="center"/>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
              </w:rPr>
              <w:t>评价结果</w:t>
            </w:r>
          </w:p>
        </w:tc>
        <w:tc>
          <w:tcPr>
            <w:tcW w:w="1630" w:type="dxa"/>
            <w:noWrap w:val="0"/>
            <w:tcMar>
              <w:top w:w="120" w:type="dxa"/>
              <w:left w:w="192" w:type="dxa"/>
              <w:bottom w:w="120" w:type="dxa"/>
              <w:right w:w="192" w:type="dxa"/>
            </w:tcMar>
            <w:vAlign w:val="center"/>
          </w:tcPr>
          <w:p>
            <w:pPr>
              <w:widowControl w:val="0"/>
              <w:spacing w:before="100" w:beforeAutospacing="1" w:after="100" w:afterAutospacing="1" w:line="240" w:lineRule="auto"/>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
              </w:rPr>
              <w:t>AAA级</w:t>
            </w:r>
          </w:p>
        </w:tc>
        <w:tc>
          <w:tcPr>
            <w:tcW w:w="1655" w:type="dxa"/>
            <w:noWrap w:val="0"/>
            <w:tcMar>
              <w:top w:w="120" w:type="dxa"/>
              <w:left w:w="192" w:type="dxa"/>
              <w:bottom w:w="120" w:type="dxa"/>
              <w:right w:w="192" w:type="dxa"/>
            </w:tcMar>
            <w:vAlign w:val="center"/>
          </w:tcPr>
          <w:p>
            <w:pPr>
              <w:widowControl w:val="0"/>
              <w:spacing w:before="100" w:beforeAutospacing="1" w:after="100" w:afterAutospacing="1" w:line="240" w:lineRule="auto"/>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
              </w:rPr>
              <w:t>AA级</w:t>
            </w:r>
          </w:p>
        </w:tc>
        <w:tc>
          <w:tcPr>
            <w:tcW w:w="1540" w:type="dxa"/>
            <w:noWrap w:val="0"/>
            <w:tcMar>
              <w:top w:w="120" w:type="dxa"/>
              <w:left w:w="192" w:type="dxa"/>
              <w:bottom w:w="120" w:type="dxa"/>
              <w:right w:w="192" w:type="dxa"/>
            </w:tcMar>
            <w:vAlign w:val="center"/>
          </w:tcPr>
          <w:p>
            <w:pPr>
              <w:widowControl w:val="0"/>
              <w:spacing w:before="100" w:beforeAutospacing="1" w:after="100" w:afterAutospacing="1" w:line="240" w:lineRule="auto"/>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
              </w:rPr>
              <w:t>A级</w:t>
            </w:r>
          </w:p>
        </w:tc>
        <w:tc>
          <w:tcPr>
            <w:tcW w:w="1920" w:type="dxa"/>
            <w:noWrap w:val="0"/>
            <w:tcMar>
              <w:top w:w="120" w:type="dxa"/>
              <w:left w:w="192" w:type="dxa"/>
              <w:bottom w:w="120" w:type="dxa"/>
              <w:right w:w="192" w:type="dxa"/>
            </w:tcMar>
            <w:vAlign w:val="center"/>
          </w:tcPr>
          <w:p>
            <w:pPr>
              <w:widowControl w:val="0"/>
              <w:spacing w:before="100" w:beforeAutospacing="1" w:after="100" w:afterAutospacing="1" w:line="240" w:lineRule="auto"/>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
              </w:rPr>
              <w:t>B级及以下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832" w:type="dxa"/>
            <w:noWrap w:val="0"/>
            <w:tcMar>
              <w:top w:w="120" w:type="dxa"/>
              <w:left w:w="0" w:type="dxa"/>
              <w:bottom w:w="120" w:type="dxa"/>
              <w:right w:w="192" w:type="dxa"/>
            </w:tcMar>
            <w:vAlign w:val="center"/>
          </w:tcPr>
          <w:p>
            <w:pPr>
              <w:widowControl w:val="0"/>
              <w:spacing w:before="100" w:beforeAutospacing="1" w:after="100" w:afterAutospacing="1" w:line="240" w:lineRule="auto"/>
              <w:jc w:val="center"/>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
              </w:rPr>
              <w:t>对应分值</w:t>
            </w:r>
          </w:p>
        </w:tc>
        <w:tc>
          <w:tcPr>
            <w:tcW w:w="1630" w:type="dxa"/>
            <w:noWrap w:val="0"/>
            <w:tcMar>
              <w:top w:w="120" w:type="dxa"/>
              <w:left w:w="192" w:type="dxa"/>
              <w:bottom w:w="120" w:type="dxa"/>
              <w:right w:w="192" w:type="dxa"/>
            </w:tcMar>
            <w:vAlign w:val="center"/>
          </w:tcPr>
          <w:p>
            <w:pPr>
              <w:widowControl w:val="0"/>
              <w:spacing w:before="100" w:beforeAutospacing="1" w:after="100" w:afterAutospacing="1" w:line="240" w:lineRule="auto"/>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
              </w:rPr>
              <w:t>10</w:t>
            </w:r>
          </w:p>
        </w:tc>
        <w:tc>
          <w:tcPr>
            <w:tcW w:w="1655" w:type="dxa"/>
            <w:noWrap w:val="0"/>
            <w:tcMar>
              <w:top w:w="120" w:type="dxa"/>
              <w:left w:w="192" w:type="dxa"/>
              <w:bottom w:w="120" w:type="dxa"/>
              <w:right w:w="192" w:type="dxa"/>
            </w:tcMar>
            <w:vAlign w:val="center"/>
          </w:tcPr>
          <w:p>
            <w:pPr>
              <w:widowControl w:val="0"/>
              <w:spacing w:before="100" w:beforeAutospacing="1" w:after="100" w:afterAutospacing="1" w:line="240" w:lineRule="auto"/>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
              </w:rPr>
              <w:t>8</w:t>
            </w:r>
          </w:p>
        </w:tc>
        <w:tc>
          <w:tcPr>
            <w:tcW w:w="1540" w:type="dxa"/>
            <w:noWrap w:val="0"/>
            <w:tcMar>
              <w:top w:w="120" w:type="dxa"/>
              <w:left w:w="192" w:type="dxa"/>
              <w:bottom w:w="120" w:type="dxa"/>
              <w:right w:w="192" w:type="dxa"/>
            </w:tcMar>
            <w:vAlign w:val="center"/>
          </w:tcPr>
          <w:p>
            <w:pPr>
              <w:widowControl w:val="0"/>
              <w:spacing w:before="100" w:beforeAutospacing="1" w:after="100" w:afterAutospacing="1" w:line="240" w:lineRule="auto"/>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
              </w:rPr>
              <w:t>6</w:t>
            </w:r>
          </w:p>
        </w:tc>
        <w:tc>
          <w:tcPr>
            <w:tcW w:w="1920" w:type="dxa"/>
            <w:noWrap w:val="0"/>
            <w:tcMar>
              <w:top w:w="120" w:type="dxa"/>
              <w:left w:w="192" w:type="dxa"/>
              <w:bottom w:w="120" w:type="dxa"/>
              <w:right w:w="0" w:type="dxa"/>
            </w:tcMar>
            <w:vAlign w:val="center"/>
          </w:tcPr>
          <w:p>
            <w:pPr>
              <w:widowControl w:val="0"/>
              <w:spacing w:before="100" w:beforeAutospacing="1" w:after="100" w:afterAutospacing="1" w:line="240" w:lineRule="auto"/>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
              </w:rPr>
              <w:t>4</w:t>
            </w:r>
          </w:p>
        </w:tc>
      </w:tr>
    </w:tbl>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3.投标人通过资格审查必须同时满足下列条件：</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lang w:val="en-US" w:eastAsia="zh-CN"/>
          <w14:ligatures w14:val="none"/>
        </w:rPr>
      </w:pPr>
      <w:r>
        <w:rPr>
          <w:rFonts w:hint="default" w:ascii="Times New Roman" w:hAnsi="Times New Roman" w:eastAsia="仿宋_GB2312" w:cs="Times New Roman"/>
          <w:color w:val="000000"/>
          <w:sz w:val="32"/>
          <w:szCs w:val="32"/>
          <w:u w:val="none"/>
          <w14:ligatures w14:val="none"/>
        </w:rPr>
        <w:t>（1）具备独立法人资格</w:t>
      </w:r>
      <w:r>
        <w:rPr>
          <w:rFonts w:hint="default" w:ascii="Times New Roman" w:hAnsi="Times New Roman" w:eastAsia="仿宋_GB2312" w:cs="Times New Roman"/>
          <w:color w:val="000000"/>
          <w:sz w:val="32"/>
          <w:szCs w:val="32"/>
          <w:u w:val="none"/>
          <w:lang w:val="en-US" w:eastAsia="zh-CN"/>
          <w14:ligatures w14:val="none"/>
        </w:rPr>
        <w:t>。</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（2）具备有效营业执照证书。</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highlight w:val="none"/>
          <w:u w:val="none"/>
          <w:lang w:val="en-US" w:eastAsia="zh-CN"/>
          <w14:ligatures w14:val="none"/>
        </w:rPr>
      </w:pPr>
      <w:r>
        <w:rPr>
          <w:rFonts w:hint="default" w:ascii="Times New Roman" w:hAnsi="Times New Roman" w:eastAsia="仿宋_GB2312" w:cs="Times New Roman"/>
          <w:strike w:val="0"/>
          <w:dstrike w:val="0"/>
          <w:color w:val="000000"/>
          <w:sz w:val="32"/>
          <w:szCs w:val="32"/>
          <w:highlight w:val="none"/>
          <w:u w:val="none"/>
          <w14:ligatures w14:val="none"/>
        </w:rPr>
        <w:t>（3）</w:t>
      </w:r>
      <w:r>
        <w:rPr>
          <w:rFonts w:hint="default" w:ascii="Times New Roman" w:hAnsi="Times New Roman" w:eastAsia="仿宋_GB2312" w:cs="Times New Roman"/>
          <w:color w:val="000000"/>
          <w:sz w:val="32"/>
          <w:szCs w:val="32"/>
          <w:highlight w:val="none"/>
          <w:u w:val="none"/>
          <w:lang w:val="en-US" w:eastAsia="zh-CN"/>
          <w14:ligatures w14:val="none"/>
        </w:rPr>
        <w:t>具有履行</w:t>
      </w:r>
      <w:r>
        <w:rPr>
          <w:rFonts w:hint="default" w:ascii="Times New Roman" w:hAnsi="Times New Roman" w:eastAsia="仿宋_GB2312" w:cs="Times New Roman"/>
          <w:color w:val="000000"/>
          <w:sz w:val="32"/>
          <w:szCs w:val="32"/>
          <w:highlight w:val="none"/>
          <w:u w:val="none"/>
          <w14:ligatures w14:val="none"/>
        </w:rPr>
        <w:t>管理和执行本</w:t>
      </w:r>
      <w:r>
        <w:rPr>
          <w:rFonts w:hint="default" w:ascii="Times New Roman" w:hAnsi="Times New Roman" w:eastAsia="仿宋_GB2312" w:cs="Times New Roman"/>
          <w:color w:val="000000"/>
          <w:sz w:val="32"/>
          <w:szCs w:val="32"/>
          <w:highlight w:val="none"/>
          <w:u w:val="none"/>
          <w:lang w:val="en-US" w:eastAsia="zh-CN"/>
          <w14:ligatures w14:val="none"/>
        </w:rPr>
        <w:t>招标项目</w:t>
      </w:r>
      <w:r>
        <w:rPr>
          <w:rFonts w:hint="default" w:ascii="Times New Roman" w:hAnsi="Times New Roman" w:eastAsia="仿宋_GB2312" w:cs="Times New Roman"/>
          <w:color w:val="000000"/>
          <w:sz w:val="32"/>
          <w:szCs w:val="32"/>
          <w:highlight w:val="none"/>
          <w:u w:val="none"/>
          <w14:ligatures w14:val="none"/>
        </w:rPr>
        <w:t>所</w:t>
      </w:r>
      <w:r>
        <w:rPr>
          <w:rFonts w:hint="default" w:ascii="Times New Roman" w:hAnsi="Times New Roman" w:eastAsia="仿宋_GB2312" w:cs="Times New Roman"/>
          <w:color w:val="000000"/>
          <w:sz w:val="32"/>
          <w:szCs w:val="32"/>
          <w:highlight w:val="none"/>
          <w:u w:val="none"/>
          <w:lang w:val="en-US" w:eastAsia="zh-CN"/>
          <w14:ligatures w14:val="none"/>
        </w:rPr>
        <w:t>必</w:t>
      </w:r>
      <w:r>
        <w:rPr>
          <w:rFonts w:hint="default" w:ascii="Times New Roman" w:hAnsi="Times New Roman" w:eastAsia="仿宋_GB2312" w:cs="Times New Roman"/>
          <w:color w:val="000000"/>
          <w:sz w:val="32"/>
          <w:szCs w:val="32"/>
          <w:highlight w:val="none"/>
          <w:u w:val="none"/>
          <w14:ligatures w14:val="none"/>
        </w:rPr>
        <w:t>备的主要人员资历和经验</w:t>
      </w:r>
      <w:r>
        <w:rPr>
          <w:rFonts w:hint="default" w:ascii="Times New Roman" w:hAnsi="Times New Roman" w:eastAsia="仿宋_GB2312" w:cs="Times New Roman"/>
          <w:color w:val="000000"/>
          <w:sz w:val="32"/>
          <w:szCs w:val="32"/>
          <w:highlight w:val="none"/>
          <w:u w:val="none"/>
          <w:lang w:eastAsia="zh-CN"/>
          <w14:ligatures w14:val="none"/>
        </w:rPr>
        <w:t>，</w:t>
      </w:r>
      <w:r>
        <w:rPr>
          <w:rFonts w:hint="default" w:ascii="Times New Roman" w:hAnsi="Times New Roman" w:eastAsia="仿宋_GB2312" w:cs="Times New Roman"/>
          <w:color w:val="000000"/>
          <w:sz w:val="32"/>
          <w:szCs w:val="32"/>
          <w:highlight w:val="none"/>
          <w:u w:val="none"/>
          <w:lang w:val="en-US" w:eastAsia="zh-CN"/>
          <w14:ligatures w14:val="none"/>
        </w:rPr>
        <w:t>如具有履行合同设备的安装、调试试运行、软件开发及数据整合、运维能力，且具有类似项目业绩;</w:t>
      </w:r>
    </w:p>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Times New Roman" w:hAnsi="Times New Roman" w:eastAsia="仿宋_GB2312" w:cs="Times New Roman"/>
          <w:strike w:val="0"/>
          <w:dstrike w:val="0"/>
          <w:color w:val="000000"/>
          <w:sz w:val="28"/>
          <w:szCs w:val="28"/>
          <w:highlight w:val="none"/>
          <w:u w:val="none"/>
          <w:lang w:val="en-US" w:eastAsia="zh-CN"/>
          <w14:ligatures w14:val="none"/>
        </w:rPr>
      </w:pPr>
      <w:r>
        <w:rPr>
          <w:rFonts w:hint="default" w:ascii="Times New Roman" w:hAnsi="Times New Roman" w:eastAsia="仿宋_GB2312" w:cs="Times New Roman"/>
          <w:strike w:val="0"/>
          <w:dstrike w:val="0"/>
          <w:color w:val="000000"/>
          <w:sz w:val="28"/>
          <w:szCs w:val="28"/>
          <w:highlight w:val="none"/>
          <w:u w:val="none"/>
          <w:lang w:val="en-US" w:eastAsia="zh-CN"/>
          <w14:ligatures w14:val="none"/>
        </w:rPr>
        <w:t>电子与智能化工程专业承包资质与承包工程范围</w:t>
      </w:r>
    </w:p>
    <w:tbl>
      <w:tblPr>
        <w:tblStyle w:val="19"/>
        <w:tblpPr w:leftFromText="180" w:rightFromText="180" w:vertAnchor="text" w:horzAnchor="page" w:tblpX="1514" w:tblpY="155"/>
        <w:tblOverlap w:val="never"/>
        <w:tblW w:w="914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162"/>
        <w:gridCol w:w="698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c>
          <w:tcPr>
            <w:tcW w:w="2162" w:type="dxa"/>
            <w:tcMar>
              <w:top w:w="0" w:type="dxa"/>
              <w:left w:w="108" w:type="dxa"/>
              <w:bottom w:w="0" w:type="dxa"/>
              <w:right w:w="108" w:type="dxa"/>
            </w:tcMa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黑体" w:cs="Times New Roman"/>
                <w:b w:val="0"/>
                <w:bCs w:val="0"/>
                <w:color w:val="000000"/>
                <w:sz w:val="28"/>
                <w:szCs w:val="28"/>
                <w:highlight w:val="none"/>
                <w:u w:val="none"/>
                <w:lang w:val="en-US" w:eastAsia="zh-CN"/>
                <w14:ligatures w14:val="none"/>
              </w:rPr>
            </w:pPr>
            <w:r>
              <w:rPr>
                <w:rFonts w:hint="default" w:ascii="Times New Roman" w:hAnsi="Times New Roman" w:eastAsia="黑体" w:cs="Times New Roman"/>
                <w:b w:val="0"/>
                <w:bCs w:val="0"/>
                <w:color w:val="000000"/>
                <w:sz w:val="28"/>
                <w:szCs w:val="28"/>
                <w:highlight w:val="none"/>
                <w:u w:val="none"/>
                <w:lang w:val="en-US" w:eastAsia="zh-CN"/>
                <w14:ligatures w14:val="none"/>
              </w:rPr>
              <w:t>企业资质</w:t>
            </w:r>
          </w:p>
        </w:tc>
        <w:tc>
          <w:tcPr>
            <w:tcW w:w="6980" w:type="dxa"/>
            <w:tcMar>
              <w:top w:w="0" w:type="dxa"/>
              <w:left w:w="108" w:type="dxa"/>
              <w:bottom w:w="0" w:type="dxa"/>
              <w:right w:w="108" w:type="dxa"/>
            </w:tcMa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黑体" w:cs="Times New Roman"/>
                <w:b w:val="0"/>
                <w:bCs w:val="0"/>
                <w:color w:val="000000"/>
                <w:sz w:val="28"/>
                <w:szCs w:val="28"/>
                <w:highlight w:val="none"/>
                <w:u w:val="none"/>
                <w:lang w:val="en-US" w:eastAsia="zh-CN"/>
                <w14:ligatures w14:val="none"/>
              </w:rPr>
            </w:pPr>
            <w:r>
              <w:rPr>
                <w:rFonts w:hint="default" w:ascii="Times New Roman" w:hAnsi="Times New Roman" w:eastAsia="黑体" w:cs="Times New Roman"/>
                <w:b w:val="0"/>
                <w:bCs w:val="0"/>
                <w:color w:val="000000"/>
                <w:sz w:val="28"/>
                <w:szCs w:val="28"/>
                <w:highlight w:val="none"/>
                <w:u w:val="none"/>
                <w:lang w:val="en-US" w:eastAsia="zh-CN"/>
                <w14:ligatures w14:val="none"/>
              </w:rPr>
              <w:t>承包工程范围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c>
          <w:tcPr>
            <w:tcW w:w="2162" w:type="dxa"/>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color w:val="000000"/>
                <w:sz w:val="28"/>
                <w:szCs w:val="28"/>
                <w:highlight w:val="none"/>
                <w:u w:val="none"/>
                <w:lang w:val="en-US" w:eastAsia="zh-CN"/>
                <w14:ligatures w14:val="none"/>
              </w:rPr>
            </w:pPr>
            <w:r>
              <w:rPr>
                <w:rFonts w:hint="default" w:ascii="Times New Roman" w:hAnsi="Times New Roman" w:eastAsia="仿宋_GB2312" w:cs="Times New Roman"/>
                <w:color w:val="000000"/>
                <w:sz w:val="28"/>
                <w:szCs w:val="28"/>
                <w:highlight w:val="none"/>
                <w:u w:val="none"/>
                <w:lang w:val="en-US" w:eastAsia="zh-CN"/>
                <w14:ligatures w14:val="none"/>
              </w:rPr>
              <w:t>一级资质</w:t>
            </w:r>
          </w:p>
        </w:tc>
        <w:tc>
          <w:tcPr>
            <w:tcW w:w="6980" w:type="dxa"/>
            <w:tcMar>
              <w:top w:w="0" w:type="dxa"/>
              <w:left w:w="108" w:type="dxa"/>
              <w:bottom w:w="0" w:type="dxa"/>
              <w:right w:w="108" w:type="dxa"/>
            </w:tcMar>
          </w:tcPr>
          <w:p>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default" w:ascii="Times New Roman" w:hAnsi="Times New Roman" w:eastAsia="仿宋_GB2312" w:cs="Times New Roman"/>
                <w:color w:val="000000"/>
                <w:sz w:val="28"/>
                <w:szCs w:val="28"/>
                <w:highlight w:val="none"/>
                <w:u w:val="none"/>
                <w:lang w:val="en-US" w:eastAsia="zh-CN"/>
                <w14:ligatures w14:val="none"/>
              </w:rPr>
            </w:pPr>
            <w:r>
              <w:rPr>
                <w:rFonts w:hint="default" w:ascii="Times New Roman" w:hAnsi="Times New Roman" w:eastAsia="仿宋_GB2312" w:cs="Times New Roman"/>
                <w:color w:val="000000"/>
                <w:sz w:val="28"/>
                <w:szCs w:val="28"/>
                <w:highlight w:val="none"/>
                <w:u w:val="none"/>
                <w:lang w:val="en-US" w:eastAsia="zh-CN"/>
                <w14:ligatures w14:val="none"/>
              </w:rPr>
              <w:t>可承担各类型电子工程、建筑智能化工程施工。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c>
          <w:tcPr>
            <w:tcW w:w="2162" w:type="dxa"/>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color w:val="000000"/>
                <w:sz w:val="28"/>
                <w:szCs w:val="28"/>
                <w:highlight w:val="none"/>
                <w:u w:val="none"/>
                <w:lang w:val="en-US" w:eastAsia="zh-CN"/>
                <w14:ligatures w14:val="none"/>
              </w:rPr>
            </w:pPr>
            <w:r>
              <w:rPr>
                <w:rFonts w:hint="default" w:ascii="Times New Roman" w:hAnsi="Times New Roman" w:eastAsia="仿宋_GB2312" w:cs="Times New Roman"/>
                <w:color w:val="000000"/>
                <w:sz w:val="28"/>
                <w:szCs w:val="28"/>
                <w:highlight w:val="none"/>
                <w:u w:val="none"/>
                <w:lang w:val="en-US" w:eastAsia="zh-CN"/>
                <w14:ligatures w14:val="none"/>
              </w:rPr>
              <w:t>二级企业</w:t>
            </w:r>
          </w:p>
        </w:tc>
        <w:tc>
          <w:tcPr>
            <w:tcW w:w="6980" w:type="dxa"/>
            <w:tcMar>
              <w:top w:w="0" w:type="dxa"/>
              <w:left w:w="108" w:type="dxa"/>
              <w:bottom w:w="0" w:type="dxa"/>
              <w:right w:w="108" w:type="dxa"/>
            </w:tcMar>
          </w:tcPr>
          <w:p>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default" w:ascii="Times New Roman" w:hAnsi="Times New Roman" w:eastAsia="仿宋_GB2312" w:cs="Times New Roman"/>
                <w:color w:val="000000"/>
                <w:sz w:val="28"/>
                <w:szCs w:val="28"/>
                <w:highlight w:val="none"/>
                <w:u w:val="none"/>
                <w:lang w:val="en-US" w:eastAsia="zh-CN"/>
                <w14:ligatures w14:val="none"/>
              </w:rPr>
            </w:pPr>
            <w:r>
              <w:rPr>
                <w:rFonts w:hint="default" w:ascii="Times New Roman" w:hAnsi="Times New Roman" w:eastAsia="仿宋_GB2312" w:cs="Times New Roman"/>
                <w:color w:val="000000"/>
                <w:sz w:val="28"/>
                <w:szCs w:val="28"/>
                <w:highlight w:val="none"/>
                <w:u w:val="none"/>
                <w:lang w:val="en-US" w:eastAsia="zh-CN"/>
                <w14:ligatures w14:val="none"/>
              </w:rPr>
              <w:t>可承担单项合同额2500万元以下的电子工业制造设备安装工程和电子工业环境工程、单项合同额1500万元以下的电子系统工程和建筑智能化工程施工。</w:t>
            </w:r>
          </w:p>
        </w:tc>
      </w:tr>
    </w:tbl>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highlight w:val="none"/>
          <w:u w:val="none"/>
          <w:lang w:val="en-US" w:eastAsia="zh-CN"/>
          <w14:ligatures w14:val="none"/>
        </w:rPr>
      </w:pPr>
      <w:r>
        <w:rPr>
          <w:rFonts w:hint="default" w:ascii="Times New Roman" w:hAnsi="Times New Roman" w:eastAsia="仿宋_GB2312" w:cs="Times New Roman"/>
          <w:color w:val="000000"/>
          <w:sz w:val="32"/>
          <w:szCs w:val="32"/>
          <w:highlight w:val="none"/>
          <w:u w:val="none"/>
          <w:lang w:val="en-US" w:eastAsia="zh-CN"/>
          <w14:ligatures w14:val="none"/>
        </w:rPr>
        <w:t>（6）投标人未处于被责令停业，投标资格被取消，财产被接管、冻结，破产状态。</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4.不可违法限制或者排斥本地区、本系统以外的法人或者其他组织参加投标。不得以不合理的条件限制或者排斥潜在投标人；不得对潜在投标人实行歧视待遇：</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（1）非国家规定的强制性资质、资格条件，或强制性认证要求，不可作为资格标准。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strike w:val="0"/>
          <w:dstrike w:val="0"/>
          <w:color w:val="000000"/>
          <w:sz w:val="32"/>
          <w:szCs w:val="32"/>
          <w:highlight w:val="none"/>
          <w:u w:val="none"/>
          <w14:ligatures w14:val="none"/>
        </w:rPr>
      </w:pPr>
      <w:r>
        <w:rPr>
          <w:rFonts w:hint="default" w:ascii="Times New Roman" w:hAnsi="Times New Roman" w:eastAsia="仿宋_GB2312" w:cs="Times New Roman"/>
          <w:color w:val="000000"/>
          <w:sz w:val="32"/>
          <w:szCs w:val="32"/>
          <w:u w:val="none"/>
          <w14:ligatures w14:val="none"/>
        </w:rPr>
        <w:t>（2）注册资金不得作为资格条件。</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（3）地域性的经营业绩、经营网点、案例等不得作为资格条件。</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（4）制造商、代理商出具的协议或授权函</w:t>
      </w:r>
      <w:r>
        <w:rPr>
          <w:rFonts w:hint="default" w:ascii="Times New Roman" w:hAnsi="Times New Roman" w:eastAsia="仿宋_GB2312" w:cs="Times New Roman"/>
          <w:color w:val="000000"/>
          <w:sz w:val="32"/>
          <w:szCs w:val="32"/>
          <w:u w:val="none"/>
          <w:lang w:eastAsia="zh-CN"/>
          <w14:ligatures w14:val="none"/>
        </w:rPr>
        <w:t>（</w:t>
      </w:r>
      <w:r>
        <w:rPr>
          <w:rFonts w:hint="default" w:ascii="Times New Roman" w:hAnsi="Times New Roman" w:eastAsia="仿宋_GB2312" w:cs="Times New Roman"/>
          <w:color w:val="000000"/>
          <w:sz w:val="32"/>
          <w:szCs w:val="32"/>
          <w:u w:val="none"/>
          <w14:ligatures w14:val="none"/>
        </w:rPr>
        <w:t>包括经营、代理、售后等</w:t>
      </w:r>
      <w:r>
        <w:rPr>
          <w:rFonts w:hint="default" w:ascii="Times New Roman" w:hAnsi="Times New Roman" w:eastAsia="仿宋_GB2312" w:cs="Times New Roman"/>
          <w:color w:val="000000"/>
          <w:sz w:val="32"/>
          <w:szCs w:val="32"/>
          <w:u w:val="none"/>
          <w:lang w:eastAsia="zh-CN"/>
          <w14:ligatures w14:val="none"/>
        </w:rPr>
        <w:t>）</w:t>
      </w:r>
      <w:r>
        <w:rPr>
          <w:rFonts w:hint="default" w:ascii="Times New Roman" w:hAnsi="Times New Roman" w:eastAsia="仿宋_GB2312" w:cs="Times New Roman"/>
          <w:color w:val="000000"/>
          <w:sz w:val="32"/>
          <w:szCs w:val="32"/>
          <w:u w:val="none"/>
          <w14:ligatures w14:val="none"/>
        </w:rPr>
        <w:t>不得作为资格条件。</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（5）不得以某一品牌特有的技术指标作为资格条件。</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lang w:val="en-US" w:eastAsia="zh-CN"/>
          <w14:ligatures w14:val="none"/>
        </w:rPr>
        <w:t>出现以上情形的，</w:t>
      </w:r>
      <w:r>
        <w:rPr>
          <w:rFonts w:hint="default" w:ascii="Times New Roman" w:hAnsi="Times New Roman" w:eastAsia="仿宋_GB2312" w:cs="Times New Roman"/>
          <w:color w:val="000000"/>
          <w:sz w:val="32"/>
          <w:szCs w:val="32"/>
          <w:u w:val="none"/>
          <w14:ligatures w14:val="none"/>
        </w:rPr>
        <w:t>招标文件无效。</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default" w:ascii="Times New Roman" w:hAnsi="Times New Roman" w:eastAsia="仿宋_GB2312" w:cs="Times New Roman"/>
          <w:color w:val="000000"/>
          <w:kern w:val="2"/>
          <w:sz w:val="32"/>
          <w:szCs w:val="32"/>
          <w:u w:val="none"/>
          <w:lang w:val="en-US" w:eastAsia="zh-CN" w:bidi="ar-SA"/>
          <w14:ligatures w14:val="none"/>
        </w:rPr>
      </w:pPr>
      <w:r>
        <w:rPr>
          <w:rFonts w:hint="default" w:ascii="Times New Roman" w:hAnsi="Times New Roman" w:eastAsia="仿宋_GB2312" w:cs="Times New Roman"/>
          <w:color w:val="000000"/>
          <w:kern w:val="2"/>
          <w:sz w:val="32"/>
          <w:szCs w:val="32"/>
          <w:u w:val="none"/>
          <w:lang w:val="en-US" w:eastAsia="zh-CN" w:bidi="ar-SA"/>
          <w14:ligatures w14:val="none"/>
        </w:rPr>
        <w:t>5.其他资格条件</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①投标人不再具备资格预审文件、招标文件规定的资格条件或者其投标影响招标公正性的，其投标无效。</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②资格预审项目自确定正式投标人之日起或资格后审项目自开标之日起至发出中标通知书前，投标工程总承包项目经理不得被更换。确需更换的，需经项目法人同意并公示，且仅限于下列情形：</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color w:val="000000"/>
          <w:kern w:val="2"/>
          <w:sz w:val="32"/>
          <w:szCs w:val="32"/>
          <w:u w:val="none"/>
          <w:lang w:val="en-US" w:eastAsia="zh-CN" w:bidi="ar-SA"/>
          <w14:ligatures w14:val="none"/>
        </w:rPr>
      </w:pPr>
      <w:r>
        <w:rPr>
          <w:rFonts w:hint="default" w:ascii="Times New Roman" w:hAnsi="Times New Roman" w:eastAsia="仿宋_GB2312" w:cs="Times New Roman"/>
          <w:color w:val="000000"/>
          <w:kern w:val="2"/>
          <w:sz w:val="32"/>
          <w:szCs w:val="32"/>
          <w:u w:val="none"/>
          <w:lang w:val="en-US" w:eastAsia="zh-CN" w:bidi="ar-SA"/>
          <w14:ligatures w14:val="none"/>
        </w:rPr>
        <w:t>a.死亡；</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color w:val="000000"/>
          <w:kern w:val="2"/>
          <w:sz w:val="32"/>
          <w:szCs w:val="32"/>
          <w:u w:val="none"/>
          <w:lang w:val="en-US" w:eastAsia="zh-CN" w:bidi="ar-SA"/>
          <w14:ligatures w14:val="none"/>
        </w:rPr>
      </w:pPr>
      <w:r>
        <w:rPr>
          <w:rFonts w:hint="default" w:ascii="Times New Roman" w:hAnsi="Times New Roman" w:eastAsia="仿宋_GB2312" w:cs="Times New Roman"/>
          <w:color w:val="000000"/>
          <w:kern w:val="2"/>
          <w:sz w:val="32"/>
          <w:szCs w:val="32"/>
          <w:u w:val="none"/>
          <w:lang w:val="en-US" w:eastAsia="zh-CN" w:bidi="ar-SA"/>
          <w14:ligatures w14:val="none"/>
        </w:rPr>
        <w:t>b.因重大疾病、辞职或调离原工作企业不能履行职责；</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color w:val="000000"/>
          <w:kern w:val="2"/>
          <w:sz w:val="32"/>
          <w:szCs w:val="32"/>
          <w:u w:val="none"/>
          <w:lang w:val="en-US" w:eastAsia="zh-CN" w:bidi="ar-SA"/>
          <w14:ligatures w14:val="none"/>
        </w:rPr>
      </w:pPr>
      <w:r>
        <w:rPr>
          <w:rFonts w:hint="default" w:ascii="Times New Roman" w:hAnsi="Times New Roman" w:eastAsia="仿宋_GB2312" w:cs="Times New Roman"/>
          <w:color w:val="000000"/>
          <w:kern w:val="2"/>
          <w:sz w:val="32"/>
          <w:szCs w:val="32"/>
          <w:u w:val="none"/>
          <w:lang w:val="en-US" w:eastAsia="zh-CN" w:bidi="ar-SA"/>
          <w14:ligatures w14:val="none"/>
        </w:rPr>
        <w:t>c.因违法违规被责令停止执业；</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color w:val="000000"/>
          <w:kern w:val="2"/>
          <w:sz w:val="32"/>
          <w:szCs w:val="32"/>
          <w:u w:val="none"/>
          <w:lang w:val="en-US" w:eastAsia="zh-CN" w:bidi="ar-SA"/>
          <w14:ligatures w14:val="none"/>
        </w:rPr>
      </w:pPr>
      <w:r>
        <w:rPr>
          <w:rFonts w:hint="default" w:ascii="Times New Roman" w:hAnsi="Times New Roman" w:eastAsia="仿宋_GB2312" w:cs="Times New Roman"/>
          <w:color w:val="000000"/>
          <w:kern w:val="2"/>
          <w:sz w:val="32"/>
          <w:szCs w:val="32"/>
          <w:u w:val="none"/>
          <w:lang w:val="en-US" w:eastAsia="zh-CN" w:bidi="ar-SA"/>
          <w14:ligatures w14:val="none"/>
        </w:rPr>
        <w:t>d.因犯罪或涉嫌犯罪被羁押或判刑；</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color w:val="000000"/>
          <w:kern w:val="2"/>
          <w:sz w:val="32"/>
          <w:szCs w:val="32"/>
          <w:u w:val="none"/>
          <w:lang w:val="en-US" w:eastAsia="zh-CN" w:bidi="ar-SA"/>
          <w14:ligatures w14:val="none"/>
        </w:rPr>
      </w:pPr>
      <w:r>
        <w:rPr>
          <w:rFonts w:hint="default" w:ascii="Times New Roman" w:hAnsi="Times New Roman" w:eastAsia="仿宋_GB2312" w:cs="Times New Roman"/>
          <w:color w:val="000000"/>
          <w:kern w:val="2"/>
          <w:sz w:val="32"/>
          <w:szCs w:val="32"/>
          <w:u w:val="none"/>
          <w:lang w:val="en-US" w:eastAsia="zh-CN" w:bidi="ar-SA"/>
          <w14:ligatures w14:val="none"/>
        </w:rPr>
        <w:t>e.因其他不可抗力等特殊情况必须更换的。</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color w:val="000000"/>
          <w:sz w:val="32"/>
          <w:szCs w:val="32"/>
          <w:u w:val="none"/>
          <w:shd w:val="pct10" w:color="auto" w:fill="FFFFFF"/>
          <w14:ligatures w14:val="none"/>
        </w:rPr>
      </w:pPr>
      <w:r>
        <w:rPr>
          <w:rFonts w:hint="default" w:ascii="Times New Roman" w:hAnsi="Times New Roman" w:eastAsia="仿宋_GB2312" w:cs="Times New Roman"/>
          <w:sz w:val="32"/>
          <w:szCs w:val="32"/>
          <w:highlight w:val="none"/>
        </w:rPr>
        <w:t>更换后的工程总承包项目经理，其技术职称或执业资格等级须与招标项目的要求相适应，且资格条件不得低于原项目经理在招标时量化评分的条件，并满足招标文件约定的最低资格要求。对招标时已采用答辩等非量化评审方式择优的工程总承包项目经理，原则上不得被更换。</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 w:cs="Times New Roman"/>
          <w:b w:val="0"/>
          <w:bCs w:val="0"/>
          <w:color w:val="auto"/>
          <w:sz w:val="32"/>
          <w:szCs w:val="32"/>
          <w:u w:val="none"/>
        </w:rPr>
      </w:pPr>
      <w:bookmarkStart w:id="4" w:name="_Toc211875780"/>
      <w:r>
        <w:rPr>
          <w:rFonts w:hint="default" w:ascii="Times New Roman" w:hAnsi="Times New Roman" w:eastAsia="楷体" w:cs="Times New Roman"/>
          <w:b w:val="0"/>
          <w:bCs w:val="0"/>
          <w:color w:val="auto"/>
          <w:sz w:val="32"/>
          <w:szCs w:val="32"/>
          <w:u w:val="none"/>
        </w:rPr>
        <w:t>（二）响应性评审</w:t>
      </w:r>
      <w:bookmarkEnd w:id="4"/>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1.评标活动中发现存在《新疆维吾尔自治区建设工程串通投标行为认定和处理办法</w:t>
      </w:r>
      <w:r>
        <w:rPr>
          <w:rFonts w:hint="default" w:ascii="Times New Roman" w:hAnsi="Times New Roman" w:eastAsia="仿宋_GB2312" w:cs="Times New Roman"/>
          <w:color w:val="000000"/>
          <w:sz w:val="32"/>
          <w:szCs w:val="32"/>
          <w:u w:val="none"/>
          <w:lang w:eastAsia="zh-CN"/>
          <w14:ligatures w14:val="none"/>
        </w:rPr>
        <w:t>（</w:t>
      </w:r>
      <w:r>
        <w:rPr>
          <w:rFonts w:hint="default" w:ascii="Times New Roman" w:hAnsi="Times New Roman" w:eastAsia="仿宋_GB2312" w:cs="Times New Roman"/>
          <w:color w:val="000000"/>
          <w:sz w:val="32"/>
          <w:szCs w:val="32"/>
          <w:u w:val="none"/>
          <w14:ligatures w14:val="none"/>
        </w:rPr>
        <w:t>试行</w:t>
      </w:r>
      <w:r>
        <w:rPr>
          <w:rFonts w:hint="default" w:ascii="Times New Roman" w:hAnsi="Times New Roman" w:eastAsia="仿宋_GB2312" w:cs="Times New Roman"/>
          <w:color w:val="000000"/>
          <w:sz w:val="32"/>
          <w:szCs w:val="32"/>
          <w:u w:val="none"/>
          <w:lang w:eastAsia="zh-CN"/>
          <w14:ligatures w14:val="none"/>
        </w:rPr>
        <w:t>）</w:t>
      </w:r>
      <w:r>
        <w:rPr>
          <w:rFonts w:hint="default" w:ascii="Times New Roman" w:hAnsi="Times New Roman" w:eastAsia="仿宋_GB2312" w:cs="Times New Roman"/>
          <w:color w:val="000000"/>
          <w:sz w:val="32"/>
          <w:szCs w:val="32"/>
          <w:u w:val="none"/>
          <w14:ligatures w14:val="none"/>
        </w:rPr>
        <w:t>》</w:t>
      </w:r>
      <w:r>
        <w:rPr>
          <w:rFonts w:hint="default" w:ascii="Times New Roman" w:hAnsi="Times New Roman" w:eastAsia="仿宋_GB2312" w:cs="Times New Roman"/>
          <w:color w:val="000000"/>
          <w:sz w:val="32"/>
          <w:szCs w:val="32"/>
          <w:u w:val="none"/>
          <w:lang w:eastAsia="zh-CN"/>
          <w14:ligatures w14:val="none"/>
        </w:rPr>
        <w:t>（</w:t>
      </w:r>
      <w:r>
        <w:rPr>
          <w:rFonts w:hint="default" w:ascii="Times New Roman" w:hAnsi="Times New Roman" w:eastAsia="仿宋_GB2312" w:cs="Times New Roman"/>
          <w:color w:val="000000"/>
          <w:sz w:val="32"/>
          <w:szCs w:val="32"/>
          <w:u w:val="none"/>
          <w14:ligatures w14:val="none"/>
        </w:rPr>
        <w:t>新政资发</w:t>
      </w:r>
      <w:r>
        <w:rPr>
          <w:rFonts w:hint="default" w:ascii="Times New Roman" w:hAnsi="Times New Roman" w:eastAsia="仿宋_GB2312" w:cs="Times New Roman"/>
          <w:color w:val="000000"/>
          <w:sz w:val="32"/>
          <w:szCs w:val="32"/>
          <w:u w:val="none"/>
          <w:lang w:eastAsia="zh-CN"/>
          <w14:ligatures w14:val="none"/>
        </w:rPr>
        <w:t>（</w:t>
      </w:r>
      <w:r>
        <w:rPr>
          <w:rFonts w:hint="default" w:ascii="Times New Roman" w:hAnsi="Times New Roman" w:eastAsia="仿宋_GB2312" w:cs="Times New Roman"/>
          <w:color w:val="000000"/>
          <w:sz w:val="32"/>
          <w:szCs w:val="32"/>
          <w:u w:val="none"/>
          <w14:ligatures w14:val="none"/>
        </w:rPr>
        <w:t>2022</w:t>
      </w:r>
      <w:r>
        <w:rPr>
          <w:rFonts w:hint="default" w:ascii="Times New Roman" w:hAnsi="Times New Roman" w:eastAsia="仿宋_GB2312" w:cs="Times New Roman"/>
          <w:color w:val="000000"/>
          <w:sz w:val="32"/>
          <w:szCs w:val="32"/>
          <w:u w:val="none"/>
          <w:lang w:eastAsia="zh-CN"/>
          <w14:ligatures w14:val="none"/>
        </w:rPr>
        <w:t>）</w:t>
      </w:r>
      <w:r>
        <w:rPr>
          <w:rFonts w:hint="default" w:ascii="Times New Roman" w:hAnsi="Times New Roman" w:eastAsia="仿宋_GB2312" w:cs="Times New Roman"/>
          <w:color w:val="000000"/>
          <w:sz w:val="32"/>
          <w:szCs w:val="32"/>
          <w:u w:val="none"/>
          <w14:ligatures w14:val="none"/>
        </w:rPr>
        <w:t>15号</w:t>
      </w:r>
      <w:r>
        <w:rPr>
          <w:rFonts w:hint="default" w:ascii="Times New Roman" w:hAnsi="Times New Roman" w:eastAsia="仿宋_GB2312" w:cs="Times New Roman"/>
          <w:color w:val="000000"/>
          <w:sz w:val="32"/>
          <w:szCs w:val="32"/>
          <w:u w:val="none"/>
          <w:lang w:eastAsia="zh-CN"/>
          <w14:ligatures w14:val="none"/>
        </w:rPr>
        <w:t>）</w:t>
      </w:r>
      <w:r>
        <w:rPr>
          <w:rFonts w:hint="default" w:ascii="Times New Roman" w:hAnsi="Times New Roman" w:eastAsia="仿宋_GB2312" w:cs="Times New Roman"/>
          <w:color w:val="000000"/>
          <w:sz w:val="32"/>
          <w:szCs w:val="32"/>
          <w:u w:val="none"/>
          <w14:ligatures w14:val="none"/>
        </w:rPr>
        <w:t>串通投标行为和以他人名义投标、以行贿手段谋取中标或者以其他弄虚作假方式投标的，经评标委员会确认，应当否决其投标，并在评标报告中说明。</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2.评标委员会对通过资格审查的投标人进行响应性评审。未能实质性响应的，应当否决其投标，并在评标报告中说明。招标文件对重大偏差另有规定的，从其规定。投标文件出现细微偏差不会对其他投标人造成不公平结果，在实质上响应招标文件要求的，不影响投标文件有效性。</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3.投标文件有下列情形之一的，视为未能在实质上响应招标文件：</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（1）未按招标文件要求提供投标保证金的；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（2）投标文件未按招标文件格式要求签字或加盖公章的；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（3）投标文件载明的招标项目完成期限超过招标文件规定期限或投标文件承诺的质量等级低于招标文件规定要求的；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（4）投标文件附有招标人不能接受的条件的；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（5）不符合招标文件中规定的其他实质性要求或违反国家有关规定的；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（6）投标报价明显低于成本，</w:t>
      </w:r>
      <w:r>
        <w:rPr>
          <w:rFonts w:hint="default" w:ascii="Times New Roman" w:hAnsi="Times New Roman" w:eastAsia="仿宋_GB2312" w:cs="Times New Roman"/>
          <w:color w:val="000000"/>
          <w:sz w:val="32"/>
          <w:szCs w:val="32"/>
          <w:u w:val="none"/>
          <w:lang w:val="en-US" w:eastAsia="zh-CN"/>
          <w14:ligatures w14:val="none"/>
        </w:rPr>
        <w:t>或者在设有标底时低于标底，</w:t>
      </w:r>
      <w:r>
        <w:rPr>
          <w:rFonts w:hint="default" w:ascii="Times New Roman" w:hAnsi="Times New Roman" w:eastAsia="仿宋_GB2312" w:cs="Times New Roman"/>
          <w:color w:val="000000"/>
          <w:sz w:val="32"/>
          <w:szCs w:val="32"/>
          <w:u w:val="none"/>
          <w14:ligatures w14:val="none"/>
        </w:rPr>
        <w:t>或者高于招标文件设定的</w:t>
      </w:r>
      <w:r>
        <w:rPr>
          <w:rFonts w:hint="default" w:ascii="Times New Roman" w:hAnsi="Times New Roman" w:eastAsia="仿宋_GB2312" w:cs="Times New Roman"/>
          <w:color w:val="000000"/>
          <w:sz w:val="32"/>
          <w:szCs w:val="32"/>
          <w:u w:val="none"/>
          <w:lang w:val="en-US" w:eastAsia="zh-CN"/>
          <w14:ligatures w14:val="none"/>
        </w:rPr>
        <w:t>投标人</w:t>
      </w:r>
      <w:r>
        <w:rPr>
          <w:rFonts w:hint="default" w:ascii="Times New Roman" w:hAnsi="Times New Roman" w:eastAsia="仿宋_GB2312" w:cs="Times New Roman"/>
          <w:color w:val="000000"/>
          <w:sz w:val="32"/>
          <w:szCs w:val="32"/>
          <w:u w:val="none"/>
          <w14:ligatures w14:val="none"/>
        </w:rPr>
        <w:t>最高投标限价的；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（7）采用资格预审的，投标文件中投标人名称或组织机构拟投入本项目的人员与资格预审时不一致的。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（8）投标文件中承诺的投标有效期少于招标文件中载明的投标有效期的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lang w:eastAsia="zh-CN"/>
          <w14:ligatures w14:val="none"/>
        </w:rPr>
        <w:t>（</w:t>
      </w:r>
      <w:r>
        <w:rPr>
          <w:rFonts w:hint="default" w:ascii="Times New Roman" w:hAnsi="Times New Roman" w:eastAsia="仿宋_GB2312" w:cs="Times New Roman"/>
          <w:color w:val="000000"/>
          <w:sz w:val="32"/>
          <w:szCs w:val="32"/>
          <w:u w:val="none"/>
          <w:lang w:val="en-US" w:eastAsia="zh-CN"/>
          <w14:ligatures w14:val="none"/>
        </w:rPr>
        <w:t>9</w:t>
      </w:r>
      <w:r>
        <w:rPr>
          <w:rFonts w:hint="default" w:ascii="Times New Roman" w:hAnsi="Times New Roman" w:eastAsia="仿宋_GB2312" w:cs="Times New Roman"/>
          <w:color w:val="000000"/>
          <w:sz w:val="32"/>
          <w:szCs w:val="32"/>
          <w:u w:val="none"/>
          <w:lang w:eastAsia="zh-CN"/>
          <w14:ligatures w14:val="none"/>
        </w:rPr>
        <w:t>）</w:t>
      </w:r>
      <w:r>
        <w:rPr>
          <w:rFonts w:hint="default" w:ascii="Times New Roman" w:hAnsi="Times New Roman" w:eastAsia="仿宋_GB2312" w:cs="Times New Roman"/>
          <w:color w:val="000000"/>
          <w:sz w:val="32"/>
          <w:szCs w:val="32"/>
          <w:u w:val="none"/>
          <w14:ligatures w14:val="none"/>
        </w:rPr>
        <w:t>针对列入《强制性产品认证目录描述与界定表（2023年修订）》</w:t>
      </w:r>
      <w:r>
        <w:rPr>
          <w:rFonts w:hint="default" w:ascii="Times New Roman" w:hAnsi="Times New Roman" w:eastAsia="仿宋_GB2312" w:cs="Times New Roman"/>
          <w:color w:val="000000"/>
          <w:sz w:val="32"/>
          <w:szCs w:val="32"/>
          <w:u w:val="none"/>
          <w:lang w:val="en-US" w:eastAsia="zh-CN"/>
          <w14:ligatures w14:val="none"/>
        </w:rPr>
        <w:t>范围内的投标产品</w:t>
      </w:r>
      <w:r>
        <w:rPr>
          <w:rFonts w:hint="default" w:ascii="Times New Roman" w:hAnsi="Times New Roman" w:eastAsia="仿宋_GB2312" w:cs="Times New Roman"/>
          <w:color w:val="000000"/>
          <w:sz w:val="32"/>
          <w:szCs w:val="32"/>
          <w:u w:val="none"/>
          <w14:ligatures w14:val="none"/>
        </w:rPr>
        <w:t>（如服务器、网络交换机、安全设备等），未提供有效的CCC认证证书的。</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4.招标文件规定的各项技术规格应当符合国家技术法规的规定。</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招标文件中规定的各项技术规格均不得要求或标明某一特定的专利技术、商标、名称、设计、原产地或供应者等，不得含有倾向或者排斥潜在投标人的其他内容。如果必须引用某一供应者的技术规格才能准确或清楚地说明拟招标货物的技术规格时，则应当在参照后面加上</w:t>
      </w:r>
      <w:r>
        <w:rPr>
          <w:rFonts w:hint="default" w:ascii="Times New Roman" w:hAnsi="Times New Roman" w:eastAsia="仿宋_GB2312" w:cs="Times New Roman"/>
          <w:color w:val="000000"/>
          <w:sz w:val="32"/>
          <w:szCs w:val="32"/>
          <w:u w:val="none"/>
          <w:lang w:eastAsia="zh-CN"/>
          <w14:ligatures w14:val="none"/>
        </w:rPr>
        <w:t>“</w:t>
      </w:r>
      <w:r>
        <w:rPr>
          <w:rFonts w:hint="default" w:ascii="Times New Roman" w:hAnsi="Times New Roman" w:eastAsia="仿宋_GB2312" w:cs="Times New Roman"/>
          <w:color w:val="000000"/>
          <w:sz w:val="32"/>
          <w:szCs w:val="32"/>
          <w:u w:val="none"/>
          <w14:ligatures w14:val="none"/>
        </w:rPr>
        <w:t>或相当于</w:t>
      </w:r>
      <w:r>
        <w:rPr>
          <w:rFonts w:hint="default" w:ascii="Times New Roman" w:hAnsi="Times New Roman" w:eastAsia="仿宋_GB2312" w:cs="Times New Roman"/>
          <w:color w:val="000000"/>
          <w:sz w:val="32"/>
          <w:szCs w:val="32"/>
          <w:u w:val="none"/>
          <w:lang w:eastAsia="zh-CN"/>
          <w14:ligatures w14:val="none"/>
        </w:rPr>
        <w:t>”</w:t>
      </w:r>
      <w:r>
        <w:rPr>
          <w:rFonts w:hint="default" w:ascii="Times New Roman" w:hAnsi="Times New Roman" w:eastAsia="仿宋_GB2312" w:cs="Times New Roman"/>
          <w:color w:val="000000"/>
          <w:sz w:val="32"/>
          <w:szCs w:val="32"/>
          <w:u w:val="none"/>
          <w14:ligatures w14:val="none"/>
        </w:rPr>
        <w:t>的字样</w:t>
      </w:r>
      <w:r>
        <w:rPr>
          <w:rFonts w:hint="default" w:ascii="Times New Roman" w:hAnsi="Times New Roman" w:eastAsia="仿宋_GB2312" w:cs="Times New Roman"/>
          <w:color w:val="000000"/>
          <w:sz w:val="32"/>
          <w:szCs w:val="32"/>
          <w:u w:val="none"/>
          <w:lang w:eastAsia="zh-CN"/>
          <w14:ligatures w14:val="none"/>
        </w:rPr>
        <w:t>，</w:t>
      </w:r>
      <w:r>
        <w:rPr>
          <w:rFonts w:hint="default" w:ascii="Times New Roman" w:hAnsi="Times New Roman" w:eastAsia="仿宋_GB2312" w:cs="Times New Roman"/>
          <w:color w:val="000000"/>
          <w:sz w:val="32"/>
          <w:szCs w:val="32"/>
          <w:u w:val="none"/>
          <w:lang w:val="en-US" w:eastAsia="zh-CN"/>
          <w14:ligatures w14:val="none"/>
        </w:rPr>
        <w:t>并明示相应技术参数</w:t>
      </w:r>
      <w:r>
        <w:rPr>
          <w:rFonts w:hint="default" w:ascii="Times New Roman" w:hAnsi="Times New Roman" w:eastAsia="仿宋_GB2312" w:cs="Times New Roman"/>
          <w:color w:val="000000"/>
          <w:sz w:val="32"/>
          <w:szCs w:val="32"/>
          <w:u w:val="none"/>
          <w14:ligatures w14:val="none"/>
        </w:rPr>
        <w:t>。</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lang w:val="en-US" w:eastAsia="zh-CN"/>
          <w14:ligatures w14:val="none"/>
        </w:rPr>
        <w:t>5.</w:t>
      </w:r>
      <w:r>
        <w:rPr>
          <w:rFonts w:hint="default" w:ascii="Times New Roman" w:hAnsi="Times New Roman" w:eastAsia="仿宋_GB2312" w:cs="Times New Roman"/>
          <w:color w:val="000000"/>
          <w:sz w:val="32"/>
          <w:szCs w:val="32"/>
          <w:u w:val="none"/>
          <w14:ligatures w14:val="none"/>
        </w:rPr>
        <w:t>非单一产品或服务的信息化项目，招标人应当根据项目服务要求、技术构成、产品价格比重等合理确定核心产品，并在招标文件中已经载明核心产品的情况下，若多家投标人提供的核心产品品牌相同，且通过资格审查、符合性审查的，按1家投标人计算，评审后得分最高的同品牌投标人获得中标</w:t>
      </w:r>
      <w:r>
        <w:rPr>
          <w:rFonts w:hint="default" w:ascii="Times New Roman" w:hAnsi="Times New Roman" w:eastAsia="仿宋_GB2312" w:cs="Times New Roman"/>
          <w:color w:val="000000"/>
          <w:sz w:val="32"/>
          <w:szCs w:val="32"/>
          <w:u w:val="none"/>
          <w:lang w:val="en-US" w:eastAsia="zh-CN"/>
          <w14:ligatures w14:val="none"/>
        </w:rPr>
        <w:t>候选</w:t>
      </w:r>
      <w:r>
        <w:rPr>
          <w:rFonts w:hint="default" w:ascii="Times New Roman" w:hAnsi="Times New Roman" w:eastAsia="仿宋_GB2312" w:cs="Times New Roman"/>
          <w:color w:val="000000"/>
          <w:sz w:val="32"/>
          <w:szCs w:val="32"/>
          <w:u w:val="none"/>
          <w14:ligatures w14:val="none"/>
        </w:rPr>
        <w:t>人推荐资格；评审得分相同的，由采购人或者采购人委托评标委员会按照招标文件规定的方式确定1个投标人获得中标</w:t>
      </w:r>
      <w:r>
        <w:rPr>
          <w:rFonts w:hint="default" w:ascii="Times New Roman" w:hAnsi="Times New Roman" w:eastAsia="仿宋_GB2312" w:cs="Times New Roman"/>
          <w:color w:val="000000"/>
          <w:sz w:val="32"/>
          <w:szCs w:val="32"/>
          <w:u w:val="none"/>
          <w:lang w:val="en-US" w:eastAsia="zh-CN"/>
          <w14:ligatures w14:val="none"/>
        </w:rPr>
        <w:t>候选</w:t>
      </w:r>
      <w:r>
        <w:rPr>
          <w:rFonts w:hint="default" w:ascii="Times New Roman" w:hAnsi="Times New Roman" w:eastAsia="仿宋_GB2312" w:cs="Times New Roman"/>
          <w:color w:val="000000"/>
          <w:sz w:val="32"/>
          <w:szCs w:val="32"/>
          <w:u w:val="none"/>
          <w14:ligatures w14:val="none"/>
        </w:rPr>
        <w:t>人推荐资格。招标文件未规定的，采取随机抽取方式确定，其他同品牌投标人不作为中标候选人。</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 w:cs="Times New Roman"/>
          <w:b w:val="0"/>
          <w:bCs w:val="0"/>
          <w:color w:val="auto"/>
          <w:sz w:val="32"/>
          <w:szCs w:val="32"/>
          <w:u w:val="none"/>
        </w:rPr>
      </w:pPr>
      <w:bookmarkStart w:id="5" w:name="_Toc211875781"/>
      <w:r>
        <w:rPr>
          <w:rFonts w:hint="default" w:ascii="Times New Roman" w:hAnsi="Times New Roman" w:eastAsia="楷体" w:cs="Times New Roman"/>
          <w:b w:val="0"/>
          <w:bCs w:val="0"/>
          <w:color w:val="auto"/>
          <w:sz w:val="32"/>
          <w:szCs w:val="32"/>
          <w:u w:val="none"/>
        </w:rPr>
        <w:t>（三）技术和商务评分</w:t>
      </w:r>
      <w:bookmarkEnd w:id="5"/>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评标委员会根据本评标办法独立对投标人投标文件的技术部分和商务部分逐项打分并累计总分，即为投标人的技术和商务得分，计算方法见评分</w:t>
      </w:r>
      <w:r>
        <w:rPr>
          <w:rFonts w:hint="default" w:ascii="Times New Roman" w:hAnsi="Times New Roman" w:eastAsia="仿宋_GB2312" w:cs="Times New Roman"/>
          <w:color w:val="000000"/>
          <w:sz w:val="32"/>
          <w:szCs w:val="32"/>
          <w:u w:val="none"/>
          <w:lang w:val="en-US" w:eastAsia="zh-CN"/>
          <w14:ligatures w14:val="none"/>
        </w:rPr>
        <w:t>导则</w:t>
      </w:r>
      <w:r>
        <w:rPr>
          <w:rFonts w:hint="default" w:ascii="Times New Roman" w:hAnsi="Times New Roman" w:eastAsia="仿宋_GB2312" w:cs="Times New Roman"/>
          <w:color w:val="000000"/>
          <w:sz w:val="32"/>
          <w:szCs w:val="32"/>
          <w:u w:val="none"/>
          <w14:ligatures w14:val="none"/>
        </w:rPr>
        <w:t>。</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 w:cs="Times New Roman"/>
          <w:b w:val="0"/>
          <w:bCs w:val="0"/>
          <w:color w:val="auto"/>
          <w:sz w:val="32"/>
          <w:szCs w:val="32"/>
          <w:u w:val="none"/>
        </w:rPr>
      </w:pPr>
      <w:bookmarkStart w:id="6" w:name="_Toc211875782"/>
      <w:r>
        <w:rPr>
          <w:rFonts w:hint="default" w:ascii="Times New Roman" w:hAnsi="Times New Roman" w:eastAsia="楷体" w:cs="Times New Roman"/>
          <w:b w:val="0"/>
          <w:bCs w:val="0"/>
          <w:color w:val="auto"/>
          <w:sz w:val="32"/>
          <w:szCs w:val="32"/>
          <w:u w:val="none"/>
        </w:rPr>
        <w:t>（四）报价评分</w:t>
      </w:r>
      <w:bookmarkEnd w:id="6"/>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评标委员会对各有效投标人报价复核，计算方法见评分</w:t>
      </w:r>
      <w:r>
        <w:rPr>
          <w:rFonts w:hint="default" w:ascii="Times New Roman" w:hAnsi="Times New Roman" w:eastAsia="仿宋_GB2312" w:cs="Times New Roman"/>
          <w:color w:val="000000"/>
          <w:sz w:val="32"/>
          <w:szCs w:val="32"/>
          <w:u w:val="none"/>
          <w:lang w:val="en-US" w:eastAsia="zh-CN"/>
          <w14:ligatures w14:val="none"/>
        </w:rPr>
        <w:t>导则</w:t>
      </w:r>
      <w:r>
        <w:rPr>
          <w:rFonts w:hint="default" w:ascii="Times New Roman" w:hAnsi="Times New Roman" w:eastAsia="仿宋_GB2312" w:cs="Times New Roman"/>
          <w:color w:val="000000"/>
          <w:sz w:val="32"/>
          <w:szCs w:val="32"/>
          <w:u w:val="none"/>
          <w14:ligatures w14:val="none"/>
        </w:rPr>
        <w:t>。</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 w:cs="Times New Roman"/>
          <w:b w:val="0"/>
          <w:bCs w:val="0"/>
          <w:color w:val="auto"/>
          <w:sz w:val="32"/>
          <w:szCs w:val="32"/>
          <w:u w:val="none"/>
        </w:rPr>
      </w:pPr>
      <w:bookmarkStart w:id="7" w:name="_Toc211875783"/>
      <w:r>
        <w:rPr>
          <w:rFonts w:hint="default" w:ascii="Times New Roman" w:hAnsi="Times New Roman" w:eastAsia="楷体" w:cs="Times New Roman"/>
          <w:b w:val="0"/>
          <w:bCs w:val="0"/>
          <w:color w:val="auto"/>
          <w:sz w:val="32"/>
          <w:szCs w:val="32"/>
          <w:u w:val="none"/>
        </w:rPr>
        <w:t>（五）计算最终得分</w:t>
      </w:r>
      <w:bookmarkEnd w:id="7"/>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技术部分、商务部分与报价部分得分之和为投标人的最终得分。</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 w:cs="Times New Roman"/>
          <w:b w:val="0"/>
          <w:bCs w:val="0"/>
          <w:color w:val="auto"/>
          <w:sz w:val="32"/>
          <w:szCs w:val="32"/>
          <w:u w:val="none"/>
        </w:rPr>
      </w:pPr>
      <w:bookmarkStart w:id="8" w:name="_Toc211875784"/>
      <w:r>
        <w:rPr>
          <w:rFonts w:hint="default" w:ascii="Times New Roman" w:hAnsi="Times New Roman" w:eastAsia="楷体" w:cs="Times New Roman"/>
          <w:b w:val="0"/>
          <w:bCs w:val="0"/>
          <w:color w:val="auto"/>
          <w:sz w:val="32"/>
          <w:szCs w:val="32"/>
          <w:u w:val="none"/>
        </w:rPr>
        <w:t>（六）中标候选人排序及</w:t>
      </w:r>
      <w:r>
        <w:rPr>
          <w:rFonts w:hint="default" w:ascii="Times New Roman" w:hAnsi="Times New Roman" w:eastAsia="楷体" w:cs="Times New Roman"/>
          <w:b w:val="0"/>
          <w:bCs w:val="0"/>
          <w:color w:val="auto"/>
          <w:sz w:val="32"/>
          <w:szCs w:val="32"/>
          <w:u w:val="none"/>
          <w:lang w:val="en-US" w:eastAsia="zh-CN"/>
        </w:rPr>
        <w:t>中标</w:t>
      </w:r>
      <w:r>
        <w:rPr>
          <w:rFonts w:hint="default" w:ascii="Times New Roman" w:hAnsi="Times New Roman" w:eastAsia="楷体" w:cs="Times New Roman"/>
          <w:b w:val="0"/>
          <w:bCs w:val="0"/>
          <w:color w:val="auto"/>
          <w:sz w:val="32"/>
          <w:szCs w:val="32"/>
          <w:u w:val="none"/>
        </w:rPr>
        <w:t>人确定</w:t>
      </w:r>
      <w:bookmarkEnd w:id="8"/>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1.评标委员会对各有效投标人投标得分复核确认，并按投标得分由高到低推荐不超过3名中标候选人。如得分相等，则投标报价低的排名靠前；投标报价也相等的，由招标人代表在监督人员的监督下，当场随机抽取确定最终的中标候选人排序顺位。</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2.招标人根据评标委员会推荐的中标候选人名单进行公示。无特殊情况时，排名第一的中标候选人确定为中标人。</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3.排名第一的中标候选人放弃中标、因不可抗力不能履行合同、不按照招标文件要求提交履约保证金、被查实存在影响中标结果的违法行为等情形，不符合中标条件的，招标人可以按照评标委员会提出的中标候选人名单排序依次确定其他中标候选人为中标人，也可以重新招标。</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4.失信行为否决。依照《全国失信惩戒措施基础清单（2025年版）》，有下列情形之一，受到有关行政部门行政处罚或被列入失信被执行人名单，且仍处于公示期内的，取消中标资格：</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（1）串通投标或以行贿的手段谋取中标，且情节严重的投标人；</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（2）以他人名义投标或者以其他方式弄虚作假，骗取中标，且情节严重的投标人；</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（3）不按照与招标人订立的合同履行义务，且情节严重的中标人；</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（4）被列入拖欠农民工工资失信联合惩戒对象名单的主体。</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以上信息以</w:t>
      </w:r>
      <w:r>
        <w:rPr>
          <w:rFonts w:hint="default" w:ascii="Times New Roman" w:hAnsi="Times New Roman" w:eastAsia="仿宋_GB2312" w:cs="Times New Roman"/>
          <w:color w:val="000000"/>
          <w:sz w:val="32"/>
          <w:szCs w:val="32"/>
          <w:u w:val="none"/>
          <w:lang w:eastAsia="zh-CN"/>
          <w14:ligatures w14:val="none"/>
        </w:rPr>
        <w:t>“</w:t>
      </w:r>
      <w:r>
        <w:rPr>
          <w:rFonts w:hint="default" w:ascii="Times New Roman" w:hAnsi="Times New Roman" w:eastAsia="仿宋_GB2312" w:cs="Times New Roman"/>
          <w:color w:val="000000"/>
          <w:sz w:val="32"/>
          <w:szCs w:val="32"/>
          <w:u w:val="none"/>
          <w14:ligatures w14:val="none"/>
        </w:rPr>
        <w:t>信用中国</w:t>
      </w:r>
      <w:r>
        <w:rPr>
          <w:rFonts w:hint="default" w:ascii="Times New Roman" w:hAnsi="Times New Roman" w:eastAsia="仿宋_GB2312" w:cs="Times New Roman"/>
          <w:color w:val="000000"/>
          <w:sz w:val="32"/>
          <w:szCs w:val="32"/>
          <w:u w:val="none"/>
          <w:lang w:eastAsia="zh-CN"/>
          <w14:ligatures w14:val="none"/>
        </w:rPr>
        <w:t>”</w:t>
      </w:r>
      <w:r>
        <w:rPr>
          <w:rFonts w:hint="default" w:ascii="Times New Roman" w:hAnsi="Times New Roman" w:eastAsia="仿宋_GB2312" w:cs="Times New Roman"/>
          <w:color w:val="000000"/>
          <w:sz w:val="32"/>
          <w:szCs w:val="32"/>
          <w:u w:val="none"/>
          <w14:ligatures w14:val="none"/>
        </w:rPr>
        <w:t>网站、全国水利建设市场监管平台公布和各级各行业行政部门经查实认定并在其官网公示的为准。招标人收到对投标人上述行为的异议，或有管辖权的水行政主管部门收到对投标人上述行为的投诉后，应当依法予以核处。</w:t>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黑体" w:cs="Times New Roman"/>
          <w:b w:val="0"/>
          <w:bCs w:val="0"/>
          <w:color w:val="auto"/>
          <w:sz w:val="32"/>
          <w:szCs w:val="32"/>
          <w:u w:val="none"/>
        </w:rPr>
      </w:pPr>
      <w:bookmarkStart w:id="9" w:name="_Toc211875785"/>
      <w:r>
        <w:rPr>
          <w:rFonts w:hint="default" w:ascii="Times New Roman" w:hAnsi="Times New Roman" w:eastAsia="黑体" w:cs="Times New Roman"/>
          <w:b w:val="0"/>
          <w:bCs w:val="0"/>
          <w:color w:val="auto"/>
          <w:sz w:val="32"/>
          <w:szCs w:val="32"/>
          <w:u w:val="none"/>
        </w:rPr>
        <w:t>四、评分导则</w:t>
      </w:r>
      <w:bookmarkEnd w:id="9"/>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详见《综合评估法评分导则》。</w:t>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黑体" w:cs="Times New Roman"/>
          <w:b w:val="0"/>
          <w:bCs w:val="0"/>
          <w:color w:val="auto"/>
          <w:sz w:val="32"/>
          <w:szCs w:val="32"/>
          <w:u w:val="none"/>
        </w:rPr>
      </w:pPr>
      <w:bookmarkStart w:id="10" w:name="_Toc211875786"/>
      <w:r>
        <w:rPr>
          <w:rFonts w:hint="default" w:ascii="Times New Roman" w:hAnsi="Times New Roman" w:eastAsia="黑体" w:cs="Times New Roman"/>
          <w:b w:val="0"/>
          <w:bCs w:val="0"/>
          <w:color w:val="auto"/>
          <w:sz w:val="32"/>
          <w:szCs w:val="32"/>
          <w:u w:val="none"/>
        </w:rPr>
        <w:t>五、释义</w:t>
      </w:r>
      <w:bookmarkEnd w:id="10"/>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（一）招标人或其委托的招标代理机构参与评标活动的代表，聘用单位应当依法与其建立规范的劳动关系，并满足以下要求：</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u w:val="none"/>
          <w:shd w:val="clear" w:color="auto" w:fill="FFFFFF"/>
          <w14:textFill>
            <w14:solidFill>
              <w14:schemeClr w14:val="tx1"/>
            </w14:solidFill>
          </w14:textFill>
        </w:rPr>
        <w:t>应签订期限不少于1年的书面劳动合同，劳动关系存续期需覆盖整个评标活动周期；</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2.在职人员须依法连续缴纳基本养老保险、医疗保险等社会保险，且参保缴费记录应自开标日起向前追溯不少于6个月。</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u w:val="none"/>
          <w:shd w:val="clear" w:color="auto" w:fill="FFFFFF"/>
          <w:lang w:val="en-US" w:eastAsia="zh-CN"/>
          <w14:textFill>
            <w14:solidFill>
              <w14:schemeClr w14:val="tx1"/>
            </w14:solidFill>
          </w14:textFill>
        </w:rPr>
        <w:t>3.退休人员须缴纳意外伤害保险。</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二）投标人拟委派的项目实施人员需连续缴纳“五险一金”，且参保缴费记录应自开标日起向前追溯不少于3个月。企业设立不足3个月的，提供至少1个月的社保缴费证明。若投标人为新成立企业且成立时间不足一个月的，须提供加盖投标人公章的情况说明或书面承诺函，并附上拟委派人员与投标人签订的有效劳动合同。</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FFFFFF"/>
          <w:lang w:val="en-US" w:eastAsia="zh-CN"/>
          <w14:textFill>
            <w14:solidFill>
              <w14:schemeClr w14:val="tx1"/>
            </w14:solidFill>
          </w14:textFill>
        </w:rPr>
        <w:t>“五险一金”指根据《中华人民共和国劳动法》《中华人民共和国社会保险法》《住房公积金管理条例》所要求的养老保险、医疗保险、失业保险、工伤保险和生育保险及住房公积金。</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三）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评标委员会应当书面要求存在细微偏差的投标人在评标结束前予以补正。</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lang w:val="en-US" w:eastAsia="zh-CN"/>
          <w14:ligatures w14:val="none"/>
        </w:rPr>
        <w:t>（四）</w:t>
      </w:r>
      <w:r>
        <w:rPr>
          <w:rFonts w:hint="default" w:ascii="Times New Roman" w:hAnsi="Times New Roman" w:eastAsia="仿宋_GB2312" w:cs="Times New Roman"/>
          <w:color w:val="000000"/>
          <w:sz w:val="32"/>
          <w:szCs w:val="32"/>
          <w:u w:val="none"/>
          <w14:ligatures w14:val="none"/>
        </w:rPr>
        <w:t>关于技术部分评审中的暗示包括但不限于以下具体情形内容：</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1.技术文件格式统一按要求进行编制；技术文件内不得出现投标人名称或者任何能引起判断出投标人名称和其相关人员信息的内容；不得在技术投标文件内出现空白页、重复页情况；</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2.A4幅面，全篇无色底纹；无页眉、页脚、页码；图表用纸幅面小于A4的用A4幅面，大于A4幅面的一律使用A3幅面；</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3.字体与排版要求：小四号宋体；常规字形，字体颜色为黑色，不得有任何修饰；字间距为标准，字体位置为标准，行间距为1.5倍行距，段前及段后间距均为0行；上、下、左、右页边距均为2.5厘米；</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4.</w:t>
      </w:r>
      <w:r>
        <w:rPr>
          <w:rFonts w:hint="default" w:ascii="Times New Roman" w:hAnsi="Times New Roman" w:eastAsia="仿宋_GB2312" w:cs="Times New Roman"/>
          <w:color w:val="000000"/>
          <w:sz w:val="32"/>
          <w:szCs w:val="32"/>
          <w:u w:val="none"/>
          <w:lang w:eastAsia="zh-CN"/>
          <w14:ligatures w14:val="none"/>
        </w:rPr>
        <w:t>涉及</w:t>
      </w:r>
      <w:r>
        <w:rPr>
          <w:rFonts w:hint="default" w:ascii="Times New Roman" w:hAnsi="Times New Roman" w:eastAsia="仿宋_GB2312" w:cs="Times New Roman"/>
          <w:color w:val="000000"/>
          <w:sz w:val="32"/>
          <w:szCs w:val="32"/>
          <w:u w:val="none"/>
          <w14:ligatures w14:val="none"/>
        </w:rPr>
        <w:t>的相关图纸（含图中表格）字体颜色为黑色，宋体字体，常规字形，不得有任何修饰，以清晰为准。</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5.技术文件不做目录；</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6.技术文件中不得出现任何有关投标人的资料及可识别的记号；</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sz w:val="32"/>
          <w:szCs w:val="32"/>
          <w:u w:val="none"/>
          <w14:ligatures w14:val="none"/>
        </w:rPr>
      </w:pPr>
      <w:r>
        <w:rPr>
          <w:rFonts w:hint="default" w:ascii="Times New Roman" w:hAnsi="Times New Roman" w:eastAsia="仿宋_GB2312" w:cs="Times New Roman"/>
          <w:color w:val="000000"/>
          <w:sz w:val="32"/>
          <w:szCs w:val="32"/>
          <w:u w:val="none"/>
          <w14:ligatures w14:val="none"/>
        </w:rPr>
        <w:t>（幅面大小、行距及页边距只是Office Word或WPS Word格式文本制作设置要求，评标委员会成员认为电子投标文件最终实际展示情况明显异常的，须经评标委员会讨论确定。）</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rPr>
        <w:t>）招标人采用现场答辩的，现场答辩指引如下：</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1.答辩截止时间：开标当日投标人拟派项目经理进行现场答辩，招标代理机构以文字形式在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不见面开标大厅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发出通知后的90分钟内到达指定答辩地点并签到，最终答辩签到截止时间以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不见面</w:t>
      </w:r>
      <w:r>
        <w:rPr>
          <w:rFonts w:hint="default" w:ascii="Times New Roman" w:hAnsi="Times New Roman" w:eastAsia="仿宋_GB2312" w:cs="Times New Roman"/>
          <w:sz w:val="32"/>
          <w:szCs w:val="32"/>
          <w:lang w:val="en-US" w:eastAsia="zh-CN"/>
        </w:rPr>
        <w:t>开标</w:t>
      </w:r>
      <w:r>
        <w:rPr>
          <w:rFonts w:hint="default" w:ascii="Times New Roman" w:hAnsi="Times New Roman" w:eastAsia="仿宋_GB2312" w:cs="Times New Roman"/>
          <w:sz w:val="32"/>
          <w:szCs w:val="32"/>
        </w:rPr>
        <w:t>大厅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中发布的时间为准。</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2.答辩地点：由招标人指定具体答辩地点。</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3.注意事项：</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（1）投标人选派本单位项目经理参与答辩，参会的项目经理必须保持与投标文件中拟派项目经理一致，参会项目经理需</w:t>
      </w:r>
      <w:r>
        <w:rPr>
          <w:rFonts w:hint="default" w:ascii="Times New Roman" w:hAnsi="Times New Roman" w:eastAsia="仿宋_GB2312" w:cs="Times New Roman"/>
          <w:sz w:val="32"/>
          <w:szCs w:val="32"/>
          <w:lang w:eastAsia="zh-CN"/>
        </w:rPr>
        <w:t>携带</w:t>
      </w:r>
      <w:r>
        <w:rPr>
          <w:rFonts w:hint="default" w:ascii="Times New Roman" w:hAnsi="Times New Roman" w:eastAsia="仿宋_GB2312" w:cs="Times New Roman"/>
          <w:sz w:val="32"/>
          <w:szCs w:val="32"/>
        </w:rPr>
        <w:t>黑色水笔、技术职称或执业资格（原件或网站下载的复印件并加盖投标人公章）、身份证原件</w:t>
      </w:r>
      <w:r>
        <w:rPr>
          <w:rFonts w:hint="default" w:ascii="Times New Roman" w:hAnsi="Times New Roman" w:eastAsia="仿宋_GB2312" w:cs="Times New Roman"/>
          <w:sz w:val="32"/>
          <w:szCs w:val="32"/>
          <w:lang w:eastAsia="zh-CN"/>
        </w:rPr>
        <w:t>及</w:t>
      </w:r>
      <w:r>
        <w:rPr>
          <w:rFonts w:hint="default" w:ascii="Times New Roman" w:hAnsi="Times New Roman" w:eastAsia="仿宋_GB2312" w:cs="Times New Roman"/>
          <w:sz w:val="32"/>
          <w:szCs w:val="32"/>
        </w:rPr>
        <w:t>复印件、法人授权委托书（加盖投标单位公章）原件查验身份。委派项目经理未按要求到达现场的，投标无效。</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（2）投标人应实时密切关注招标代理在不见面开标大厅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开标动态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栏目中发布的各项通知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现场工作人员也将拨打投标人线上签到所填的联系电话（未填写联系电话或联系不上的，由投标人自行负责），通知投标人。未按时到达开标会现场的，投标无效。</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（3）如投标人拟派项目经理均未按要求参加现场答辩或均未通过资格审查，投标人按无效投标处理，本项目流标。</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（4）拟派项目经理身份查验通过后，留存相关材料复印件，在签到表上完成签到后，上交随身携带的通讯（电子）设备及与答辩内容有关的材料后进入开标室等候统一答辩。</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答辩签到截止时间过后，招标人发放答辩试卷，各单位拟派项目经理开始现场答辩。现场答辩采用纸质闭卷形式，答辩时长15分钟，如无特殊原因，不得提前结束答辩，答辩内容应简明扼要，卷面字体端正清晰易于辨认。</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（6）答题范围由招标人在招标文件中公布，答辩题目总数</w:t>
      </w:r>
      <w:r>
        <w:rPr>
          <w:rFonts w:hint="default" w:ascii="Times New Roman" w:hAnsi="Times New Roman" w:eastAsia="仿宋_GB2312" w:cs="Times New Roman"/>
          <w:sz w:val="32"/>
          <w:szCs w:val="32"/>
          <w:lang w:val="en-US" w:eastAsia="zh-CN"/>
        </w:rPr>
        <w:t>为</w:t>
      </w:r>
      <w:r>
        <w:rPr>
          <w:rFonts w:hint="default" w:ascii="Times New Roman" w:hAnsi="Times New Roman" w:eastAsia="仿宋_GB2312" w:cs="Times New Roman"/>
          <w:sz w:val="32"/>
          <w:szCs w:val="32"/>
        </w:rPr>
        <w:t>10题。答辩题目由评标委员会组长在评标室当场拟定，项目经理现场答辩题目由电子交易系统现场随机从签到的项目经理中随机抽取一名后，再由该被随机抽选的项目经理随机抽取</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题。试题以客观题为主，范围在已公布的公开资料中可获取，若存在主观题，未发现明显违法违规问题的，评标委员会不得作出不利于投标人的判定。</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（7）答辩期间，各拟派项目经理</w:t>
      </w:r>
      <w:r>
        <w:rPr>
          <w:rFonts w:hint="default" w:ascii="Times New Roman" w:hAnsi="Times New Roman" w:eastAsia="仿宋_GB2312" w:cs="Times New Roman"/>
          <w:sz w:val="32"/>
          <w:szCs w:val="32"/>
          <w:lang w:eastAsia="zh-CN"/>
        </w:rPr>
        <w:t>不得</w:t>
      </w:r>
      <w:r>
        <w:rPr>
          <w:rFonts w:hint="default" w:ascii="Times New Roman" w:hAnsi="Times New Roman" w:eastAsia="仿宋_GB2312" w:cs="Times New Roman"/>
          <w:sz w:val="32"/>
          <w:szCs w:val="32"/>
        </w:rPr>
        <w:t>夹带材料、旁窥、交头接耳、互打暗号</w:t>
      </w:r>
      <w:r>
        <w:rPr>
          <w:rFonts w:hint="default" w:ascii="Times New Roman" w:hAnsi="Times New Roman" w:eastAsia="仿宋_GB2312" w:cs="Times New Roman"/>
          <w:sz w:val="32"/>
          <w:szCs w:val="32"/>
          <w:lang w:eastAsia="zh-CN"/>
        </w:rPr>
        <w:t>或</w:t>
      </w:r>
      <w:r>
        <w:rPr>
          <w:rFonts w:hint="default" w:ascii="Times New Roman" w:hAnsi="Times New Roman" w:eastAsia="仿宋_GB2312" w:cs="Times New Roman"/>
          <w:sz w:val="32"/>
          <w:szCs w:val="32"/>
        </w:rPr>
        <w:t>手势，不得在答辩室禁止的范围内喧哗、吸烟或实施其他影响考场秩序的行为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如出现上述情况</w:t>
      </w:r>
      <w:r>
        <w:rPr>
          <w:rFonts w:hint="default" w:ascii="Times New Roman" w:hAnsi="Times New Roman" w:eastAsia="仿宋_GB2312" w:cs="Times New Roman"/>
          <w:sz w:val="32"/>
          <w:szCs w:val="32"/>
          <w:lang w:eastAsia="zh-CN"/>
        </w:rPr>
        <w:t>，将</w:t>
      </w:r>
      <w:r>
        <w:rPr>
          <w:rFonts w:hint="default" w:ascii="Times New Roman" w:hAnsi="Times New Roman" w:eastAsia="仿宋_GB2312" w:cs="Times New Roman"/>
          <w:sz w:val="32"/>
          <w:szCs w:val="32"/>
        </w:rPr>
        <w:t>上报行政监督</w:t>
      </w:r>
      <w:r>
        <w:rPr>
          <w:rFonts w:hint="default" w:ascii="Times New Roman" w:hAnsi="Times New Roman" w:eastAsia="仿宋_GB2312" w:cs="Times New Roman"/>
          <w:sz w:val="32"/>
          <w:szCs w:val="32"/>
          <w:lang w:eastAsia="zh-CN"/>
        </w:rPr>
        <w:t>部门，不</w:t>
      </w:r>
      <w:r>
        <w:rPr>
          <w:rFonts w:hint="default" w:ascii="Times New Roman" w:hAnsi="Times New Roman" w:eastAsia="仿宋_GB2312" w:cs="Times New Roman"/>
          <w:sz w:val="32"/>
          <w:szCs w:val="32"/>
        </w:rPr>
        <w:t>进入下一评审环节，同时取消其投标资格，答辩过程将全程录音录像。</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（8）答辩结束后，各拟派项目经理退场，不得在现场停留。招标人将把各拟派项目经理的答辩内容送交评标委员会进行评审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答辩材料出现原则性错误、空白、涉嫌违法违规的，评标委员会可以否决该投标人答辩内容，其余情况一般应对答辩内容做符合制判定。存在因答辩材料否决投标的，评标委员会应书面记录否决理由并纳入招标投标书面情况报告中。</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（9）请各投标人仔细阅读本通知，因投标人拟派项目经理无正当理由未在规定时</w:t>
      </w:r>
      <w:r>
        <w:rPr>
          <w:rFonts w:hint="default" w:ascii="Times New Roman" w:hAnsi="Times New Roman" w:eastAsia="仿宋_GB2312" w:cs="Times New Roman"/>
          <w:sz w:val="32"/>
          <w:szCs w:val="32"/>
          <w:lang w:eastAsia="zh-CN"/>
        </w:rPr>
        <w:t>间内</w:t>
      </w:r>
      <w:r>
        <w:rPr>
          <w:rFonts w:hint="default" w:ascii="Times New Roman" w:hAnsi="Times New Roman" w:eastAsia="仿宋_GB2312" w:cs="Times New Roman"/>
          <w:sz w:val="32"/>
          <w:szCs w:val="32"/>
        </w:rPr>
        <w:t>到场答辩导致投标无效的，由投标人自行负责。招标人将对投标人拟派项目经理未按要求到场参加答辩会</w:t>
      </w:r>
      <w:r>
        <w:rPr>
          <w:rFonts w:hint="default" w:ascii="Times New Roman" w:hAnsi="Times New Roman" w:eastAsia="仿宋_GB2312" w:cs="Times New Roman"/>
          <w:sz w:val="32"/>
          <w:szCs w:val="32"/>
          <w:lang w:eastAsia="zh-CN"/>
        </w:rPr>
        <w:t>的情况</w:t>
      </w:r>
      <w:r>
        <w:rPr>
          <w:rFonts w:hint="default" w:ascii="Times New Roman" w:hAnsi="Times New Roman" w:eastAsia="仿宋_GB2312" w:cs="Times New Roman"/>
          <w:sz w:val="32"/>
          <w:szCs w:val="32"/>
        </w:rPr>
        <w:t>汇总上报监管部门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不进入下一评审环节。</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（10）答辩相关资料整理形成文档，并纳入招标投标书面情况报告中。</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六</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招标人</w:t>
      </w:r>
      <w:r>
        <w:rPr>
          <w:rFonts w:hint="default" w:ascii="Times New Roman" w:hAnsi="Times New Roman" w:eastAsia="仿宋_GB2312" w:cs="Times New Roman"/>
          <w:sz w:val="32"/>
          <w:szCs w:val="32"/>
          <w:highlight w:val="none"/>
          <w:lang w:val="en-US" w:eastAsia="zh-CN"/>
        </w:rPr>
        <w:t>不</w:t>
      </w:r>
      <w:r>
        <w:rPr>
          <w:rFonts w:hint="default" w:ascii="Times New Roman" w:hAnsi="Times New Roman" w:eastAsia="仿宋_GB2312" w:cs="Times New Roman"/>
          <w:sz w:val="32"/>
          <w:szCs w:val="32"/>
          <w:highlight w:val="none"/>
        </w:rPr>
        <w:t>采用现场答辩的</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应以书面形式进行情况说明，并向监督部门备案。</w:t>
      </w:r>
    </w:p>
    <w:p>
      <w:pPr>
        <w:rPr>
          <w:rFonts w:hint="default" w:ascii="Times New Roman" w:hAnsi="Times New Roman" w:cs="Times New Roman"/>
          <w:b/>
          <w:bCs/>
          <w:sz w:val="32"/>
          <w:szCs w:val="36"/>
          <w:u w:val="none"/>
        </w:rPr>
      </w:pPr>
      <w:r>
        <w:rPr>
          <w:rFonts w:hint="default" w:ascii="Times New Roman" w:hAnsi="Times New Roman" w:cs="Times New Roman"/>
          <w:b/>
          <w:bCs/>
          <w:sz w:val="32"/>
          <w:szCs w:val="36"/>
          <w:u w:val="none"/>
        </w:rPr>
        <w:br w:type="page"/>
      </w:r>
    </w:p>
    <w:p>
      <w:pPr>
        <w:spacing w:after="120" w:line="360" w:lineRule="auto"/>
        <w:rPr>
          <w:rFonts w:hint="default" w:ascii="Times New Roman" w:hAnsi="Times New Roman" w:eastAsia="黑体" w:cs="Times New Roman"/>
          <w:b w:val="0"/>
          <w:bCs w:val="0"/>
          <w:sz w:val="32"/>
          <w:szCs w:val="36"/>
          <w:u w:val="none"/>
        </w:rPr>
      </w:pPr>
      <w:r>
        <w:rPr>
          <w:rFonts w:hint="default" w:ascii="Times New Roman" w:hAnsi="Times New Roman" w:eastAsia="黑体" w:cs="Times New Roman"/>
          <w:b w:val="0"/>
          <w:bCs w:val="0"/>
          <w:sz w:val="32"/>
          <w:szCs w:val="36"/>
          <w:u w:val="none"/>
        </w:rPr>
        <w:t>附件</w:t>
      </w:r>
    </w:p>
    <w:p>
      <w:pPr>
        <w:pStyle w:val="2"/>
        <w:keepNext w:val="0"/>
        <w:keepLines w:val="0"/>
        <w:pageBreakBefore w:val="0"/>
        <w:widowControl w:val="0"/>
        <w:kinsoku/>
        <w:wordWrap/>
        <w:overflowPunct/>
        <w:topLinePunct w:val="0"/>
        <w:autoSpaceDE/>
        <w:autoSpaceDN/>
        <w:bidi w:val="0"/>
        <w:adjustRightInd/>
        <w:snapToGrid/>
        <w:spacing w:before="0" w:after="120" w:line="560" w:lineRule="exact"/>
        <w:jc w:val="center"/>
        <w:textAlignment w:val="auto"/>
        <w:rPr>
          <w:rFonts w:hint="default" w:ascii="Times New Roman" w:hAnsi="Times New Roman" w:eastAsia="方正小标宋简体" w:cs="Times New Roman"/>
          <w:color w:val="auto"/>
          <w:sz w:val="44"/>
          <w:szCs w:val="44"/>
          <w:u w:val="none"/>
        </w:rPr>
      </w:pPr>
      <w:bookmarkStart w:id="11" w:name="_Toc211875787"/>
      <w:r>
        <w:rPr>
          <w:rFonts w:hint="default" w:ascii="Times New Roman" w:hAnsi="Times New Roman" w:eastAsia="方正小标宋简体" w:cs="Times New Roman"/>
          <w:color w:val="auto"/>
          <w:sz w:val="44"/>
          <w:szCs w:val="44"/>
          <w:u w:val="none"/>
        </w:rPr>
        <w:t>综合评估法评分导则</w:t>
      </w:r>
      <w:bookmarkEnd w:id="11"/>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14:ligatures w14:val="none"/>
        </w:rPr>
      </w:pP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宋体" w:cs="Times New Roman"/>
          <w:b w:val="0"/>
          <w:bCs w:val="0"/>
          <w:color w:val="000000"/>
          <w:sz w:val="32"/>
          <w:szCs w:val="32"/>
          <w:u w:val="none"/>
          <w14:ligatures w14:val="none"/>
        </w:rPr>
      </w:pPr>
      <w:r>
        <w:rPr>
          <w:rFonts w:hint="default" w:ascii="Times New Roman" w:hAnsi="Times New Roman" w:eastAsia="仿宋_GB2312" w:cs="Times New Roman"/>
          <w:b w:val="0"/>
          <w:bCs w:val="0"/>
          <w:kern w:val="2"/>
          <w:sz w:val="32"/>
          <w:szCs w:val="32"/>
          <w:lang w:val="en-US" w:eastAsia="zh-CN" w:bidi="ar-SA"/>
          <w14:ligatures w14:val="none"/>
        </w:rPr>
        <w:t>综合评估法的评分标准采用百分制。总得分为技术评审、商务评审及报价评审三项得分评价之和。其中，货物项目的价格分值占总分值的比重为30%-60%；服务项目的价格分值占总分值的比重为10%-30%。</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经初步评审合格的投标文件，评标委员会应当根据以下评分标准，对其技术、商务和报价作进一步评审、比较、评分。</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技术部分采用暗标评审，提交的技术部分文件中除</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第1点需求理解与响应</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之外，不得有任何有关投标人的暗示（具体情形见释义）。否则，将否决其投标。</w:t>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黑体" w:cs="Times New Roman"/>
          <w:b w:val="0"/>
          <w:bCs w:val="0"/>
          <w:color w:val="auto"/>
          <w:sz w:val="32"/>
          <w:szCs w:val="32"/>
          <w:u w:val="none"/>
        </w:rPr>
      </w:pPr>
      <w:bookmarkStart w:id="12" w:name="_Toc211875788"/>
      <w:r>
        <w:rPr>
          <w:rFonts w:hint="default" w:ascii="Times New Roman" w:hAnsi="Times New Roman" w:eastAsia="黑体" w:cs="Times New Roman"/>
          <w:b w:val="0"/>
          <w:bCs w:val="0"/>
          <w:color w:val="auto"/>
          <w:sz w:val="32"/>
          <w:szCs w:val="32"/>
          <w:u w:val="none"/>
        </w:rPr>
        <w:t>一、技术部分</w:t>
      </w:r>
      <w:bookmarkEnd w:id="12"/>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eastAsia="zh-CN"/>
        </w:rPr>
      </w:pPr>
      <w:bookmarkStart w:id="13" w:name="_Toc211875789"/>
      <w:r>
        <w:rPr>
          <w:rFonts w:hint="default" w:ascii="Times New Roman" w:hAnsi="Times New Roman" w:eastAsia="仿宋_GB2312" w:cs="Times New Roman"/>
          <w:b w:val="0"/>
          <w:bCs w:val="0"/>
          <w:sz w:val="32"/>
          <w:szCs w:val="32"/>
          <w:lang w:eastAsia="zh-CN"/>
        </w:rPr>
        <w:t>技术投标文件（含封面、目录、正文、图表、图纸及附录等全部内容）总页数不得超过2</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lang w:eastAsia="zh-CN"/>
        </w:rPr>
        <w:t>0页。超出2</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lang w:eastAsia="zh-CN"/>
        </w:rPr>
        <w:t>0页的，超出部分每超1页，在技术部分总得分中扣减0.1分，累计扣分。页数以电子投标文件实际生成的页数为准。</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 w:cs="Times New Roman"/>
          <w:b w:val="0"/>
          <w:bCs w:val="0"/>
          <w:color w:val="auto"/>
          <w:sz w:val="32"/>
          <w:szCs w:val="32"/>
          <w:u w:val="none"/>
        </w:rPr>
      </w:pPr>
      <w:r>
        <w:rPr>
          <w:rFonts w:hint="default" w:ascii="Times New Roman" w:hAnsi="Times New Roman" w:eastAsia="楷体" w:cs="Times New Roman"/>
          <w:b w:val="0"/>
          <w:bCs w:val="0"/>
          <w:color w:val="auto"/>
          <w:sz w:val="32"/>
          <w:szCs w:val="32"/>
          <w:u w:val="none"/>
          <w:lang w:eastAsia="zh-CN"/>
        </w:rPr>
        <w:t>（</w:t>
      </w:r>
      <w:r>
        <w:rPr>
          <w:rFonts w:hint="default" w:ascii="Times New Roman" w:hAnsi="Times New Roman" w:eastAsia="楷体" w:cs="Times New Roman"/>
          <w:b w:val="0"/>
          <w:bCs w:val="0"/>
          <w:color w:val="auto"/>
          <w:sz w:val="32"/>
          <w:szCs w:val="32"/>
          <w:u w:val="none"/>
          <w:lang w:val="en-US" w:eastAsia="zh-CN"/>
        </w:rPr>
        <w:t>一）</w:t>
      </w:r>
      <w:r>
        <w:rPr>
          <w:rFonts w:hint="default" w:ascii="Times New Roman" w:hAnsi="Times New Roman" w:eastAsia="楷体" w:cs="Times New Roman"/>
          <w:b w:val="0"/>
          <w:bCs w:val="0"/>
          <w:color w:val="auto"/>
          <w:sz w:val="32"/>
          <w:szCs w:val="32"/>
          <w:u w:val="none"/>
        </w:rPr>
        <w:t>需求理解与响应</w:t>
      </w:r>
      <w:bookmarkEnd w:id="13"/>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招标人须在招标文件中明确采购标的</w:t>
      </w:r>
      <w:r>
        <w:rPr>
          <w:rFonts w:hint="default" w:ascii="Times New Roman" w:hAnsi="Times New Roman" w:eastAsia="仿宋_GB2312" w:cs="Times New Roman"/>
          <w:b w:val="0"/>
          <w:bCs w:val="0"/>
          <w:sz w:val="32"/>
          <w:szCs w:val="32"/>
          <w:lang w:val="en-US" w:eastAsia="zh-CN"/>
        </w:rPr>
        <w:t>的</w:t>
      </w:r>
      <w:r>
        <w:rPr>
          <w:rFonts w:hint="default" w:ascii="Times New Roman" w:hAnsi="Times New Roman" w:eastAsia="仿宋_GB2312" w:cs="Times New Roman"/>
          <w:b w:val="0"/>
          <w:bCs w:val="0"/>
          <w:sz w:val="32"/>
          <w:szCs w:val="32"/>
        </w:rPr>
        <w:t>质量、安全、技术规格、物理特性等要求</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需执行的国家相关标准、行业标准、地方标准或者其他标准、规范；</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按照</w:t>
      </w:r>
      <w:r>
        <w:rPr>
          <w:rFonts w:hint="default" w:ascii="Times New Roman" w:hAnsi="Times New Roman" w:eastAsia="仿宋_GB2312" w:cs="Times New Roman"/>
          <w:b w:val="0"/>
          <w:bCs w:val="0"/>
          <w:sz w:val="32"/>
          <w:szCs w:val="32"/>
        </w:rPr>
        <w:t>投标人对招标要求的各项技术性能、参数指标的响应程度进行评价（如要求提供对应的佐证材料，应按要求逐一提供）。</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（1）完全满足或正偏离招标文件的技术参数要求，得满分；</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（2）非标</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技术参数每出现一处负偏离扣</w:t>
      </w:r>
      <w:r>
        <w:rPr>
          <w:rFonts w:hint="default" w:ascii="Times New Roman" w:hAnsi="Times New Roman" w:eastAsia="仿宋_GB2312" w:cs="Times New Roman"/>
          <w:b w:val="0"/>
          <w:bCs w:val="0"/>
          <w:sz w:val="32"/>
          <w:szCs w:val="32"/>
          <w:lang w:val="en-US" w:eastAsia="zh-CN"/>
        </w:rPr>
        <w:t>0.3</w:t>
      </w:r>
      <w:r>
        <w:rPr>
          <w:rFonts w:hint="default" w:ascii="Times New Roman" w:hAnsi="Times New Roman" w:eastAsia="仿宋_GB2312" w:cs="Times New Roman"/>
          <w:b w:val="0"/>
          <w:bCs w:val="0"/>
          <w:sz w:val="32"/>
          <w:szCs w:val="32"/>
        </w:rPr>
        <w:t>分，扣完为止；</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（3）标</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为重要参数，每出现一处负偏离扣</w:t>
      </w:r>
      <w:r>
        <w:rPr>
          <w:rFonts w:hint="default" w:ascii="Times New Roman" w:hAnsi="Times New Roman" w:eastAsia="仿宋_GB2312" w:cs="Times New Roman"/>
          <w:b w:val="0"/>
          <w:bCs w:val="0"/>
          <w:sz w:val="32"/>
          <w:szCs w:val="32"/>
          <w:lang w:val="en-US" w:eastAsia="zh-CN"/>
        </w:rPr>
        <w:t>0.5</w:t>
      </w:r>
      <w:r>
        <w:rPr>
          <w:rFonts w:hint="default" w:ascii="Times New Roman" w:hAnsi="Times New Roman" w:eastAsia="仿宋_GB2312" w:cs="Times New Roman"/>
          <w:b w:val="0"/>
          <w:bCs w:val="0"/>
          <w:sz w:val="32"/>
          <w:szCs w:val="32"/>
        </w:rPr>
        <w:t>分，扣完为止。</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上述</w:t>
      </w:r>
      <w:r>
        <w:rPr>
          <w:rFonts w:hint="default" w:ascii="Times New Roman" w:hAnsi="Times New Roman" w:eastAsia="仿宋_GB2312" w:cs="Times New Roman"/>
          <w:b w:val="0"/>
          <w:bCs w:val="0"/>
          <w:sz w:val="32"/>
          <w:szCs w:val="32"/>
          <w:lang w:val="en-US" w:eastAsia="zh-CN"/>
        </w:rPr>
        <w:t>第</w:t>
      </w:r>
      <w:r>
        <w:rPr>
          <w:rFonts w:hint="default" w:ascii="Times New Roman" w:hAnsi="Times New Roman" w:eastAsia="仿宋_GB2312" w:cs="Times New Roman"/>
          <w:b w:val="0"/>
          <w:bCs w:val="0"/>
          <w:sz w:val="32"/>
          <w:szCs w:val="32"/>
        </w:rPr>
        <w:t>（2）（3）</w:t>
      </w:r>
      <w:r>
        <w:rPr>
          <w:rFonts w:hint="default" w:ascii="Times New Roman" w:hAnsi="Times New Roman" w:eastAsia="仿宋_GB2312" w:cs="Times New Roman"/>
          <w:b w:val="0"/>
          <w:bCs w:val="0"/>
          <w:sz w:val="32"/>
          <w:szCs w:val="32"/>
          <w:lang w:val="en-US" w:eastAsia="zh-CN"/>
        </w:rPr>
        <w:t>中的</w:t>
      </w:r>
      <w:r>
        <w:rPr>
          <w:rFonts w:hint="default" w:ascii="Times New Roman" w:hAnsi="Times New Roman" w:eastAsia="仿宋_GB2312" w:cs="Times New Roman"/>
          <w:b w:val="0"/>
          <w:bCs w:val="0"/>
          <w:sz w:val="32"/>
          <w:szCs w:val="32"/>
        </w:rPr>
        <w:t>扣分</w:t>
      </w:r>
      <w:r>
        <w:rPr>
          <w:rFonts w:hint="default" w:ascii="Times New Roman" w:hAnsi="Times New Roman" w:eastAsia="仿宋_GB2312" w:cs="Times New Roman"/>
          <w:b w:val="0"/>
          <w:bCs w:val="0"/>
          <w:sz w:val="32"/>
          <w:szCs w:val="32"/>
          <w:lang w:val="en-US" w:eastAsia="zh-CN"/>
        </w:rPr>
        <w:t>为累计扣分，扣完为止。</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标</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为与核心功能直接相关</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为</w:t>
      </w:r>
      <w:r>
        <w:rPr>
          <w:rFonts w:hint="default" w:ascii="Times New Roman" w:hAnsi="Times New Roman" w:eastAsia="仿宋_GB2312" w:cs="Times New Roman"/>
          <w:b w:val="0"/>
          <w:bCs w:val="0"/>
          <w:sz w:val="32"/>
          <w:szCs w:val="32"/>
        </w:rPr>
        <w:t>不允许偏离的实质性要求和条件，投标人须完全响应</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投标人</w:t>
      </w:r>
      <w:r>
        <w:rPr>
          <w:rFonts w:hint="default" w:ascii="Times New Roman" w:hAnsi="Times New Roman" w:eastAsia="仿宋_GB2312" w:cs="Times New Roman"/>
          <w:b w:val="0"/>
          <w:bCs w:val="0"/>
          <w:sz w:val="32"/>
          <w:szCs w:val="32"/>
        </w:rPr>
        <w:t>存在负偏离的，视为未对招标文件的实质性要求作出响应，按无效投标处理。</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数量可选择以下两种方式之一。</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①标</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个数与项目控制价相关，其中500万以下</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数量≤2</w:t>
      </w:r>
      <w:r>
        <w:rPr>
          <w:rFonts w:hint="default" w:ascii="Times New Roman" w:hAnsi="Times New Roman" w:eastAsia="仿宋_GB2312" w:cs="Times New Roman"/>
          <w:b w:val="0"/>
          <w:bCs w:val="0"/>
          <w:sz w:val="32"/>
          <w:szCs w:val="32"/>
          <w:lang w:val="en-US" w:eastAsia="zh-CN"/>
        </w:rPr>
        <w:t>个</w:t>
      </w:r>
      <w:r>
        <w:rPr>
          <w:rFonts w:hint="default" w:ascii="Times New Roman" w:hAnsi="Times New Roman" w:eastAsia="仿宋_GB2312" w:cs="Times New Roman"/>
          <w:b w:val="0"/>
          <w:bCs w:val="0"/>
          <w:sz w:val="32"/>
          <w:szCs w:val="32"/>
        </w:rPr>
        <w:t>，500-1000万</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数量≤3个，1000以上</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数量≤5个。</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②以核心产品的种类</w:t>
      </w:r>
      <w:r>
        <w:rPr>
          <w:rFonts w:hint="default" w:ascii="Times New Roman" w:hAnsi="Times New Roman" w:eastAsia="仿宋_GB2312" w:cs="Times New Roman"/>
          <w:b w:val="0"/>
          <w:bCs w:val="0"/>
          <w:sz w:val="32"/>
          <w:szCs w:val="32"/>
          <w:lang w:val="en-US" w:eastAsia="zh-CN"/>
        </w:rPr>
        <w:t>数量</w:t>
      </w:r>
      <w:r>
        <w:rPr>
          <w:rFonts w:hint="default" w:ascii="Times New Roman" w:hAnsi="Times New Roman" w:eastAsia="仿宋_GB2312" w:cs="Times New Roman"/>
          <w:b w:val="0"/>
          <w:bCs w:val="0"/>
          <w:sz w:val="32"/>
          <w:szCs w:val="32"/>
        </w:rPr>
        <w:t>计算</w:t>
      </w:r>
      <w:r>
        <w:rPr>
          <w:rFonts w:hint="default" w:ascii="Times New Roman" w:hAnsi="Times New Roman" w:eastAsia="仿宋_GB2312" w:cs="Times New Roman"/>
          <w:b w:val="0"/>
          <w:bCs w:val="0"/>
          <w:sz w:val="32"/>
          <w:szCs w:val="32"/>
          <w:lang w:val="en-US" w:eastAsia="zh-CN"/>
        </w:rPr>
        <w:t>的</w:t>
      </w:r>
      <w:r>
        <w:rPr>
          <w:rFonts w:hint="default" w:ascii="Times New Roman" w:hAnsi="Times New Roman" w:eastAsia="仿宋_GB2312" w:cs="Times New Roman"/>
          <w:b w:val="0"/>
          <w:bCs w:val="0"/>
          <w:sz w:val="32"/>
          <w:szCs w:val="32"/>
        </w:rPr>
        <w:t>，每一类核心产品标</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数量≤2</w:t>
      </w:r>
      <w:r>
        <w:rPr>
          <w:rFonts w:hint="default" w:ascii="Times New Roman" w:hAnsi="Times New Roman" w:eastAsia="仿宋_GB2312" w:cs="Times New Roman"/>
          <w:b w:val="0"/>
          <w:bCs w:val="0"/>
          <w:sz w:val="32"/>
          <w:szCs w:val="32"/>
          <w:lang w:val="en-US" w:eastAsia="zh-CN"/>
        </w:rPr>
        <w:t>个</w:t>
      </w:r>
      <w:r>
        <w:rPr>
          <w:rFonts w:hint="default" w:ascii="Times New Roman" w:hAnsi="Times New Roman" w:eastAsia="仿宋_GB2312" w:cs="Times New Roman"/>
          <w:b w:val="0"/>
          <w:bCs w:val="0"/>
          <w:sz w:val="32"/>
          <w:szCs w:val="32"/>
        </w:rPr>
        <w:t>。</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 w:cs="Times New Roman"/>
          <w:b w:val="0"/>
          <w:bCs w:val="0"/>
          <w:color w:val="auto"/>
          <w:sz w:val="32"/>
          <w:szCs w:val="32"/>
          <w:u w:val="none"/>
          <w:lang w:eastAsia="zh-CN"/>
        </w:rPr>
      </w:pPr>
      <w:bookmarkStart w:id="14" w:name="_Toc211875790"/>
      <w:r>
        <w:rPr>
          <w:rFonts w:hint="default" w:ascii="Times New Roman" w:hAnsi="Times New Roman" w:eastAsia="楷体" w:cs="Times New Roman"/>
          <w:b w:val="0"/>
          <w:bCs w:val="0"/>
          <w:color w:val="auto"/>
          <w:sz w:val="32"/>
          <w:szCs w:val="32"/>
          <w:u w:val="none"/>
          <w:lang w:eastAsia="zh-CN"/>
        </w:rPr>
        <w:t>（</w:t>
      </w:r>
      <w:r>
        <w:rPr>
          <w:rFonts w:hint="default" w:ascii="Times New Roman" w:hAnsi="Times New Roman" w:eastAsia="楷体" w:cs="Times New Roman"/>
          <w:b w:val="0"/>
          <w:bCs w:val="0"/>
          <w:color w:val="auto"/>
          <w:sz w:val="32"/>
          <w:szCs w:val="32"/>
          <w:u w:val="none"/>
          <w:lang w:val="en-US" w:eastAsia="zh-CN"/>
        </w:rPr>
        <w:t>二）</w:t>
      </w:r>
      <w:r>
        <w:rPr>
          <w:rFonts w:hint="default" w:ascii="Times New Roman" w:hAnsi="Times New Roman" w:eastAsia="楷体" w:cs="Times New Roman"/>
          <w:b w:val="0"/>
          <w:bCs w:val="0"/>
          <w:color w:val="auto"/>
          <w:sz w:val="32"/>
          <w:szCs w:val="32"/>
          <w:u w:val="none"/>
          <w:lang w:eastAsia="zh-CN"/>
        </w:rPr>
        <w:t>技术方案</w:t>
      </w:r>
      <w:bookmarkEnd w:id="14"/>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由招标人根据项目具体特点和实际需要明确对技术方案的要求。</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cs="Times New Roman"/>
          <w:b w:val="0"/>
          <w:bCs w:val="0"/>
          <w:sz w:val="32"/>
          <w:szCs w:val="32"/>
          <w:u w:val="none"/>
        </w:rPr>
      </w:pPr>
      <w:r>
        <w:rPr>
          <w:rFonts w:hint="default" w:ascii="Times New Roman" w:hAnsi="Times New Roman" w:eastAsia="仿宋_GB2312" w:cs="Times New Roman"/>
          <w:b w:val="0"/>
          <w:bCs w:val="0"/>
          <w:sz w:val="32"/>
          <w:szCs w:val="32"/>
        </w:rPr>
        <w:t>对</w:t>
      </w:r>
      <w:r>
        <w:rPr>
          <w:rFonts w:hint="default" w:ascii="Times New Roman" w:hAnsi="Times New Roman" w:eastAsia="仿宋_GB2312" w:cs="Times New Roman"/>
          <w:b w:val="0"/>
          <w:bCs w:val="0"/>
          <w:sz w:val="32"/>
          <w:szCs w:val="32"/>
          <w:lang w:val="en-US" w:eastAsia="zh-CN"/>
        </w:rPr>
        <w:t>投标人提交</w:t>
      </w:r>
      <w:r>
        <w:rPr>
          <w:rFonts w:hint="default" w:ascii="Times New Roman" w:hAnsi="Times New Roman" w:eastAsia="仿宋_GB2312" w:cs="Times New Roman"/>
          <w:b w:val="0"/>
          <w:bCs w:val="0"/>
          <w:sz w:val="32"/>
          <w:szCs w:val="32"/>
        </w:rPr>
        <w:t>技术方案的需求覆盖、需求理解，技术架构合理性、先进性、成熟度、兼容性，技术选型适配、成熟度，关键技术实现细节等</w:t>
      </w:r>
      <w:r>
        <w:rPr>
          <w:rFonts w:hint="default" w:ascii="Times New Roman" w:hAnsi="Times New Roman" w:eastAsia="仿宋_GB2312" w:cs="Times New Roman"/>
          <w:b w:val="0"/>
          <w:bCs w:val="0"/>
          <w:sz w:val="32"/>
          <w:szCs w:val="32"/>
          <w:lang w:val="en-US" w:eastAsia="zh-CN"/>
        </w:rPr>
        <w:t>内容的符合程度</w:t>
      </w:r>
      <w:r>
        <w:rPr>
          <w:rFonts w:hint="default" w:ascii="Times New Roman" w:hAnsi="Times New Roman" w:eastAsia="仿宋_GB2312" w:cs="Times New Roman"/>
          <w:b w:val="0"/>
          <w:bCs w:val="0"/>
          <w:sz w:val="32"/>
          <w:szCs w:val="32"/>
        </w:rPr>
        <w:t>进行评价。</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 w:cs="Times New Roman"/>
          <w:b w:val="0"/>
          <w:bCs w:val="0"/>
          <w:color w:val="auto"/>
          <w:sz w:val="32"/>
          <w:szCs w:val="32"/>
          <w:u w:val="none"/>
          <w:lang w:eastAsia="zh-CN"/>
        </w:rPr>
      </w:pPr>
      <w:bookmarkStart w:id="15" w:name="_Toc211875791"/>
      <w:r>
        <w:rPr>
          <w:rFonts w:hint="default" w:ascii="Times New Roman" w:hAnsi="Times New Roman" w:eastAsia="楷体" w:cs="Times New Roman"/>
          <w:b w:val="0"/>
          <w:bCs w:val="0"/>
          <w:color w:val="auto"/>
          <w:sz w:val="32"/>
          <w:szCs w:val="32"/>
          <w:u w:val="none"/>
          <w:lang w:eastAsia="zh-CN"/>
        </w:rPr>
        <w:t>（</w:t>
      </w:r>
      <w:r>
        <w:rPr>
          <w:rFonts w:hint="default" w:ascii="Times New Roman" w:hAnsi="Times New Roman" w:eastAsia="楷体" w:cs="Times New Roman"/>
          <w:b w:val="0"/>
          <w:bCs w:val="0"/>
          <w:color w:val="auto"/>
          <w:sz w:val="32"/>
          <w:szCs w:val="32"/>
          <w:u w:val="none"/>
          <w:lang w:val="en-US" w:eastAsia="zh-CN"/>
        </w:rPr>
        <w:t>三）</w:t>
      </w:r>
      <w:r>
        <w:rPr>
          <w:rFonts w:hint="default" w:ascii="Times New Roman" w:hAnsi="Times New Roman" w:eastAsia="楷体" w:cs="Times New Roman"/>
          <w:b w:val="0"/>
          <w:bCs w:val="0"/>
          <w:color w:val="auto"/>
          <w:sz w:val="32"/>
          <w:szCs w:val="32"/>
          <w:u w:val="none"/>
          <w:lang w:eastAsia="zh-CN"/>
        </w:rPr>
        <w:t>项目实施</w:t>
      </w:r>
      <w:bookmarkEnd w:id="15"/>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对项目部署、系统集成、测试联调、项目试运行、项目验收等实施方案进行评价。</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 w:cs="Times New Roman"/>
          <w:b w:val="0"/>
          <w:bCs w:val="0"/>
          <w:color w:val="auto"/>
          <w:sz w:val="32"/>
          <w:szCs w:val="32"/>
          <w:u w:val="none"/>
          <w:lang w:eastAsia="zh-CN"/>
        </w:rPr>
      </w:pPr>
      <w:bookmarkStart w:id="16" w:name="_Toc211875792"/>
      <w:r>
        <w:rPr>
          <w:rFonts w:hint="default" w:ascii="Times New Roman" w:hAnsi="Times New Roman" w:eastAsia="楷体" w:cs="Times New Roman"/>
          <w:b w:val="0"/>
          <w:bCs w:val="0"/>
          <w:color w:val="auto"/>
          <w:sz w:val="32"/>
          <w:szCs w:val="32"/>
          <w:u w:val="none"/>
          <w:lang w:eastAsia="zh-CN"/>
        </w:rPr>
        <w:t>（</w:t>
      </w:r>
      <w:r>
        <w:rPr>
          <w:rFonts w:hint="default" w:ascii="Times New Roman" w:hAnsi="Times New Roman" w:eastAsia="楷体" w:cs="Times New Roman"/>
          <w:b w:val="0"/>
          <w:bCs w:val="0"/>
          <w:color w:val="auto"/>
          <w:sz w:val="32"/>
          <w:szCs w:val="32"/>
          <w:u w:val="none"/>
          <w:lang w:val="en-US" w:eastAsia="zh-CN"/>
        </w:rPr>
        <w:t>四）</w:t>
      </w:r>
      <w:r>
        <w:rPr>
          <w:rFonts w:hint="default" w:ascii="Times New Roman" w:hAnsi="Times New Roman" w:eastAsia="楷体" w:cs="Times New Roman"/>
          <w:b w:val="0"/>
          <w:bCs w:val="0"/>
          <w:color w:val="auto"/>
          <w:sz w:val="32"/>
          <w:szCs w:val="32"/>
          <w:u w:val="none"/>
          <w:lang w:eastAsia="zh-CN"/>
        </w:rPr>
        <w:t>项目质量管理与控制措施</w:t>
      </w:r>
      <w:bookmarkEnd w:id="16"/>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highlight w:val="none"/>
          <w:lang w:eastAsia="zh-CN"/>
        </w:rPr>
      </w:pPr>
      <w:r>
        <w:rPr>
          <w:rFonts w:hint="default" w:ascii="Times New Roman" w:hAnsi="Times New Roman" w:eastAsia="仿宋_GB2312" w:cs="Times New Roman"/>
          <w:b w:val="0"/>
          <w:bCs w:val="0"/>
          <w:sz w:val="32"/>
          <w:szCs w:val="32"/>
          <w:highlight w:val="none"/>
        </w:rPr>
        <w:t>对项目全生命周期的质量管理与控制措施进行评价。包括：质量管理体系</w:t>
      </w:r>
      <w:r>
        <w:rPr>
          <w:rFonts w:hint="default" w:ascii="Times New Roman" w:hAnsi="Times New Roman" w:eastAsia="仿宋_GB2312" w:cs="Times New Roman"/>
          <w:b w:val="0"/>
          <w:bCs w:val="0"/>
          <w:sz w:val="32"/>
          <w:szCs w:val="32"/>
          <w:highlight w:val="none"/>
          <w:lang w:eastAsia="zh-CN"/>
        </w:rPr>
        <w:t>、质量控制流程、质量验收标准、质量问题处理机制、质量记录与文档管理、与监理/发包人的协同</w:t>
      </w:r>
      <w:r>
        <w:rPr>
          <w:rFonts w:hint="default" w:ascii="Times New Roman" w:hAnsi="Times New Roman" w:eastAsia="仿宋_GB2312" w:cs="Times New Roman"/>
          <w:b w:val="0"/>
          <w:bCs w:val="0"/>
          <w:sz w:val="32"/>
          <w:szCs w:val="32"/>
          <w:highlight w:val="none"/>
        </w:rPr>
        <w:t>等。</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 w:cs="Times New Roman"/>
          <w:b w:val="0"/>
          <w:bCs w:val="0"/>
          <w:color w:val="auto"/>
          <w:sz w:val="32"/>
          <w:szCs w:val="32"/>
          <w:u w:val="none"/>
          <w:lang w:eastAsia="zh-CN"/>
        </w:rPr>
      </w:pPr>
      <w:bookmarkStart w:id="17" w:name="_Toc211875793"/>
      <w:r>
        <w:rPr>
          <w:rFonts w:hint="default" w:ascii="Times New Roman" w:hAnsi="Times New Roman" w:eastAsia="楷体" w:cs="Times New Roman"/>
          <w:b w:val="0"/>
          <w:bCs w:val="0"/>
          <w:color w:val="auto"/>
          <w:sz w:val="32"/>
          <w:szCs w:val="32"/>
          <w:u w:val="none"/>
          <w:lang w:eastAsia="zh-CN"/>
        </w:rPr>
        <w:t>（</w:t>
      </w:r>
      <w:r>
        <w:rPr>
          <w:rFonts w:hint="default" w:ascii="Times New Roman" w:hAnsi="Times New Roman" w:eastAsia="楷体" w:cs="Times New Roman"/>
          <w:b w:val="0"/>
          <w:bCs w:val="0"/>
          <w:color w:val="auto"/>
          <w:sz w:val="32"/>
          <w:szCs w:val="32"/>
          <w:u w:val="none"/>
          <w:lang w:val="en-US" w:eastAsia="zh-CN"/>
        </w:rPr>
        <w:t>五）</w:t>
      </w:r>
      <w:r>
        <w:rPr>
          <w:rFonts w:hint="default" w:ascii="Times New Roman" w:hAnsi="Times New Roman" w:eastAsia="楷体" w:cs="Times New Roman"/>
          <w:b w:val="0"/>
          <w:bCs w:val="0"/>
          <w:color w:val="auto"/>
          <w:sz w:val="32"/>
          <w:szCs w:val="32"/>
          <w:u w:val="none"/>
          <w:lang w:eastAsia="zh-CN"/>
        </w:rPr>
        <w:t>项目安全与合规管理与措施</w:t>
      </w:r>
      <w:bookmarkEnd w:id="17"/>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对项目的系统安全与合规、数据安全与合规、网络安全与合规、协助进行等保测评与测评整改及备案协助（若有）、数据迁移（若有）等方案进行评价。</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 w:cs="Times New Roman"/>
          <w:b w:val="0"/>
          <w:bCs w:val="0"/>
          <w:color w:val="auto"/>
          <w:sz w:val="32"/>
          <w:szCs w:val="32"/>
          <w:u w:val="none"/>
          <w:lang w:eastAsia="zh-CN"/>
        </w:rPr>
      </w:pPr>
      <w:bookmarkStart w:id="18" w:name="_Toc211875794"/>
      <w:r>
        <w:rPr>
          <w:rFonts w:hint="default" w:ascii="Times New Roman" w:hAnsi="Times New Roman" w:eastAsia="楷体" w:cs="Times New Roman"/>
          <w:b w:val="0"/>
          <w:bCs w:val="0"/>
          <w:color w:val="auto"/>
          <w:sz w:val="32"/>
          <w:szCs w:val="32"/>
          <w:u w:val="none"/>
          <w:lang w:eastAsia="zh-CN"/>
        </w:rPr>
        <w:t>（</w:t>
      </w:r>
      <w:r>
        <w:rPr>
          <w:rFonts w:hint="default" w:ascii="Times New Roman" w:hAnsi="Times New Roman" w:eastAsia="楷体" w:cs="Times New Roman"/>
          <w:b w:val="0"/>
          <w:bCs w:val="0"/>
          <w:color w:val="auto"/>
          <w:sz w:val="32"/>
          <w:szCs w:val="32"/>
          <w:u w:val="none"/>
          <w:lang w:val="en-US" w:eastAsia="zh-CN"/>
        </w:rPr>
        <w:t>六）</w:t>
      </w:r>
      <w:r>
        <w:rPr>
          <w:rFonts w:hint="default" w:ascii="Times New Roman" w:hAnsi="Times New Roman" w:eastAsia="楷体" w:cs="Times New Roman"/>
          <w:b w:val="0"/>
          <w:bCs w:val="0"/>
          <w:color w:val="auto"/>
          <w:sz w:val="32"/>
          <w:szCs w:val="32"/>
          <w:u w:val="none"/>
          <w:lang w:eastAsia="zh-CN"/>
        </w:rPr>
        <w:t>售后服务体系</w:t>
      </w:r>
      <w:bookmarkEnd w:id="18"/>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宋体" w:cs="Times New Roman"/>
          <w:b w:val="0"/>
          <w:bCs w:val="0"/>
          <w:sz w:val="32"/>
          <w:szCs w:val="32"/>
          <w:u w:val="none"/>
        </w:rPr>
      </w:pPr>
      <w:r>
        <w:rPr>
          <w:rFonts w:hint="default" w:ascii="Times New Roman" w:hAnsi="Times New Roman" w:eastAsia="仿宋_GB2312" w:cs="Times New Roman"/>
          <w:b w:val="0"/>
          <w:bCs w:val="0"/>
          <w:sz w:val="32"/>
          <w:szCs w:val="32"/>
        </w:rPr>
        <w:t>对售后服务期限与服务范围、服务体系与响应机制、故障处理与问题解决、系统运行维护保障、应急响应预案体系、系统补丁与版本升级、文档与知识转移等进行评价。</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 w:cs="Times New Roman"/>
          <w:b w:val="0"/>
          <w:bCs w:val="0"/>
          <w:color w:val="auto"/>
          <w:sz w:val="32"/>
          <w:szCs w:val="32"/>
          <w:u w:val="none"/>
          <w:lang w:eastAsia="zh-CN"/>
        </w:rPr>
      </w:pPr>
      <w:bookmarkStart w:id="19" w:name="_Toc211875795"/>
      <w:r>
        <w:rPr>
          <w:rFonts w:hint="default" w:ascii="Times New Roman" w:hAnsi="Times New Roman" w:eastAsia="楷体" w:cs="Times New Roman"/>
          <w:b w:val="0"/>
          <w:bCs w:val="0"/>
          <w:color w:val="auto"/>
          <w:sz w:val="32"/>
          <w:szCs w:val="32"/>
          <w:u w:val="none"/>
          <w:lang w:eastAsia="zh-CN"/>
        </w:rPr>
        <w:t>（</w:t>
      </w:r>
      <w:r>
        <w:rPr>
          <w:rFonts w:hint="default" w:ascii="Times New Roman" w:hAnsi="Times New Roman" w:eastAsia="楷体" w:cs="Times New Roman"/>
          <w:b w:val="0"/>
          <w:bCs w:val="0"/>
          <w:color w:val="auto"/>
          <w:sz w:val="32"/>
          <w:szCs w:val="32"/>
          <w:u w:val="none"/>
          <w:lang w:val="en-US" w:eastAsia="zh-CN"/>
        </w:rPr>
        <w:t>七）</w:t>
      </w:r>
      <w:r>
        <w:rPr>
          <w:rFonts w:hint="default" w:ascii="Times New Roman" w:hAnsi="Times New Roman" w:eastAsia="楷体" w:cs="Times New Roman"/>
          <w:b w:val="0"/>
          <w:bCs w:val="0"/>
          <w:color w:val="auto"/>
          <w:sz w:val="32"/>
          <w:szCs w:val="32"/>
          <w:u w:val="none"/>
          <w:lang w:eastAsia="zh-CN"/>
        </w:rPr>
        <w:t>用户培训</w:t>
      </w:r>
      <w:bookmarkEnd w:id="19"/>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对项目培训目标与针对性、培训内容与课程体系、培训方式与资源、培训团队与师资、培训计划与安排、培训效果与评估等进行评价。</w:t>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黑体" w:cs="Times New Roman"/>
          <w:b w:val="0"/>
          <w:bCs w:val="0"/>
          <w:color w:val="auto"/>
          <w:sz w:val="32"/>
          <w:szCs w:val="32"/>
          <w:u w:val="none"/>
        </w:rPr>
      </w:pPr>
      <w:bookmarkStart w:id="20" w:name="_Toc211875797"/>
      <w:r>
        <w:rPr>
          <w:rFonts w:hint="default" w:ascii="Times New Roman" w:hAnsi="Times New Roman" w:eastAsia="黑体" w:cs="Times New Roman"/>
          <w:b w:val="0"/>
          <w:bCs w:val="0"/>
          <w:color w:val="auto"/>
          <w:sz w:val="32"/>
          <w:szCs w:val="32"/>
          <w:u w:val="none"/>
        </w:rPr>
        <w:t>二、商务部分</w:t>
      </w:r>
      <w:bookmarkEnd w:id="20"/>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b/>
          <w:bCs/>
          <w:color w:val="auto"/>
          <w:sz w:val="32"/>
          <w:szCs w:val="32"/>
          <w:u w:val="none"/>
        </w:rPr>
      </w:pPr>
      <w:bookmarkStart w:id="21" w:name="_Toc211875798"/>
      <w:r>
        <w:rPr>
          <w:rFonts w:hint="default" w:ascii="Times New Roman" w:hAnsi="Times New Roman" w:eastAsia="楷体" w:cs="Times New Roman"/>
          <w:b w:val="0"/>
          <w:bCs w:val="0"/>
          <w:sz w:val="32"/>
          <w:szCs w:val="32"/>
          <w:u w:val="none"/>
          <w:shd w:val="clear" w:color="auto" w:fill="FFFFFF"/>
        </w:rPr>
        <w:t>（一）</w:t>
      </w:r>
      <w:bookmarkEnd w:id="21"/>
      <w:bookmarkStart w:id="22" w:name="_Toc211875799"/>
      <w:r>
        <w:rPr>
          <w:rFonts w:hint="default" w:ascii="Times New Roman" w:hAnsi="Times New Roman" w:eastAsia="仿宋_GB2312" w:cs="Times New Roman"/>
          <w:b/>
          <w:bCs/>
          <w:color w:val="auto"/>
          <w:sz w:val="32"/>
          <w:szCs w:val="32"/>
          <w:u w:val="none"/>
        </w:rPr>
        <w:t>市场监管行为评价</w:t>
      </w:r>
      <w:bookmarkEnd w:id="22"/>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按照《水利建设市场经营主体信用信息管理办法》（水建设〔2024〕201号），受到各级水行政主管部门公示的失信信息（以全国水利建设市场监管平台公示的信息为准），且在投标截止时仍在公示期内的，按照以下标准进行扣分，直至扣完。</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一般失信信息</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扣分标准如下：</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①以普通程序作出的罚款的扣1分/次；</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②没收违法所得的扣1分/次；</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③没收非法财物的扣1分/次。</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严重失信信息</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扣分标准如下：</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①吊销许可证件的扣完；</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②降低资质等级的扣完；</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③限制从业的扣完；</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④不得申请行政许可的扣完。</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同一失信行为同时受到两类及以上行政处理的，按最重的行政处理进行计分。</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outlineLvl w:val="1"/>
        <w:rPr>
          <w:rFonts w:hint="default" w:ascii="Times New Roman" w:hAnsi="Times New Roman" w:eastAsia="楷体" w:cs="Times New Roman"/>
          <w:b w:val="0"/>
          <w:bCs w:val="0"/>
          <w:sz w:val="32"/>
          <w:szCs w:val="32"/>
          <w:u w:val="none"/>
          <w:shd w:val="clear" w:color="auto" w:fill="FFFFFF"/>
        </w:rPr>
      </w:pPr>
      <w:bookmarkStart w:id="23" w:name="_Toc211875800"/>
      <w:r>
        <w:rPr>
          <w:rFonts w:hint="default" w:ascii="Times New Roman" w:hAnsi="Times New Roman" w:eastAsia="楷体" w:cs="Times New Roman"/>
          <w:b w:val="0"/>
          <w:bCs w:val="0"/>
          <w:sz w:val="32"/>
          <w:szCs w:val="32"/>
          <w:u w:val="none"/>
          <w:shd w:val="clear" w:color="auto" w:fill="FFFFFF"/>
        </w:rPr>
        <w:t>（二）投标人资质与认证</w:t>
      </w:r>
      <w:bookmarkEnd w:id="23"/>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hint="default" w:ascii="Times New Roman" w:hAnsi="Times New Roman" w:eastAsia="仿宋_GB2312" w:cs="Times New Roman"/>
          <w:b/>
          <w:bCs/>
          <w:color w:val="auto"/>
          <w:sz w:val="32"/>
          <w:szCs w:val="32"/>
          <w:u w:val="none"/>
        </w:rPr>
      </w:pPr>
      <w:bookmarkStart w:id="24" w:name="_Toc211875801"/>
      <w:r>
        <w:rPr>
          <w:rFonts w:hint="default" w:ascii="Times New Roman" w:hAnsi="Times New Roman" w:eastAsia="仿宋_GB2312" w:cs="Times New Roman"/>
          <w:b/>
          <w:bCs/>
          <w:color w:val="auto"/>
          <w:sz w:val="32"/>
          <w:szCs w:val="32"/>
          <w:u w:val="none"/>
        </w:rPr>
        <w:t>1.管理体系资质与认证</w:t>
      </w:r>
      <w:bookmarkEnd w:id="24"/>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具有与招标项目相适应的投标人管理体系资质与认证，</w:t>
      </w:r>
      <w:r>
        <w:rPr>
          <w:rFonts w:hint="default" w:ascii="Times New Roman" w:hAnsi="Times New Roman" w:eastAsia="仿宋_GB2312" w:cs="Times New Roman"/>
          <w:b w:val="0"/>
          <w:bCs w:val="0"/>
          <w:sz w:val="32"/>
          <w:szCs w:val="32"/>
          <w:lang w:val="en-US" w:eastAsia="zh-CN"/>
        </w:rPr>
        <w:t>包括</w:t>
      </w:r>
      <w:r>
        <w:rPr>
          <w:rFonts w:hint="default" w:ascii="Times New Roman" w:hAnsi="Times New Roman" w:eastAsia="仿宋_GB2312" w:cs="Times New Roman"/>
          <w:b w:val="0"/>
          <w:bCs w:val="0"/>
          <w:sz w:val="32"/>
          <w:szCs w:val="32"/>
        </w:rPr>
        <w:t>：</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质量管理体系GB/T190</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或IS</w:t>
      </w:r>
      <w:r>
        <w:rPr>
          <w:rFonts w:hint="default" w:ascii="Times New Roman" w:hAnsi="Times New Roman" w:eastAsia="仿宋_GB2312" w:cs="Times New Roman"/>
          <w:b w:val="0"/>
          <w:bCs w:val="0"/>
          <w:sz w:val="32"/>
          <w:szCs w:val="32"/>
          <w:lang w:val="en-US" w:eastAsia="zh-CN"/>
        </w:rPr>
        <w:t xml:space="preserve">O </w:t>
      </w:r>
      <w:r>
        <w:rPr>
          <w:rFonts w:hint="default" w:ascii="Times New Roman" w:hAnsi="Times New Roman" w:eastAsia="仿宋_GB2312" w:cs="Times New Roman"/>
          <w:b w:val="0"/>
          <w:bCs w:val="0"/>
          <w:sz w:val="32"/>
          <w:szCs w:val="32"/>
        </w:rPr>
        <w:t>900</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认证；</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环境管理体系GB/T24000系列或IS</w:t>
      </w:r>
      <w:r>
        <w:rPr>
          <w:rFonts w:hint="default" w:ascii="Times New Roman" w:hAnsi="Times New Roman" w:eastAsia="仿宋_GB2312" w:cs="Times New Roman"/>
          <w:b w:val="0"/>
          <w:bCs w:val="0"/>
          <w:sz w:val="32"/>
          <w:szCs w:val="32"/>
          <w:lang w:val="en-US" w:eastAsia="zh-CN"/>
        </w:rPr>
        <w:t xml:space="preserve">O </w:t>
      </w:r>
      <w:r>
        <w:rPr>
          <w:rFonts w:hint="default" w:ascii="Times New Roman" w:hAnsi="Times New Roman" w:eastAsia="仿宋_GB2312" w:cs="Times New Roman"/>
          <w:b w:val="0"/>
          <w:bCs w:val="0"/>
          <w:sz w:val="32"/>
          <w:szCs w:val="32"/>
        </w:rPr>
        <w:t>1400</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认证；</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职业健康安全管理体系GB/T45000系列或IS</w:t>
      </w:r>
      <w:r>
        <w:rPr>
          <w:rFonts w:hint="default" w:ascii="Times New Roman" w:hAnsi="Times New Roman" w:eastAsia="仿宋_GB2312" w:cs="Times New Roman"/>
          <w:b w:val="0"/>
          <w:bCs w:val="0"/>
          <w:sz w:val="32"/>
          <w:szCs w:val="32"/>
          <w:lang w:val="en-US" w:eastAsia="zh-CN"/>
        </w:rPr>
        <w:t xml:space="preserve">O </w:t>
      </w:r>
      <w:r>
        <w:rPr>
          <w:rFonts w:hint="default" w:ascii="Times New Roman" w:hAnsi="Times New Roman" w:eastAsia="仿宋_GB2312" w:cs="Times New Roman"/>
          <w:b w:val="0"/>
          <w:bCs w:val="0"/>
          <w:sz w:val="32"/>
          <w:szCs w:val="32"/>
        </w:rPr>
        <w:t>4500</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认证。</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（招标人可从上述质量、环境和职业健康安全管理体系选择设置评分）</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hint="default" w:ascii="Times New Roman" w:hAnsi="Times New Roman" w:eastAsia="仿宋_GB2312" w:cs="Times New Roman"/>
          <w:b/>
          <w:bCs/>
          <w:color w:val="auto"/>
          <w:sz w:val="32"/>
          <w:szCs w:val="32"/>
          <w:u w:val="none"/>
        </w:rPr>
      </w:pPr>
      <w:bookmarkStart w:id="25" w:name="_Toc211875802"/>
      <w:r>
        <w:rPr>
          <w:rFonts w:hint="default" w:ascii="Times New Roman" w:hAnsi="Times New Roman" w:eastAsia="仿宋_GB2312" w:cs="Times New Roman"/>
          <w:b/>
          <w:bCs/>
          <w:color w:val="auto"/>
          <w:sz w:val="32"/>
          <w:szCs w:val="32"/>
          <w:u w:val="none"/>
        </w:rPr>
        <w:t>2.技术能力资质与认证</w:t>
      </w:r>
      <w:bookmarkEnd w:id="25"/>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具有与招标项目相适应的投标人能力资质与认证，</w:t>
      </w:r>
      <w:r>
        <w:rPr>
          <w:rFonts w:hint="default" w:ascii="Times New Roman" w:hAnsi="Times New Roman" w:eastAsia="仿宋_GB2312" w:cs="Times New Roman"/>
          <w:b w:val="0"/>
          <w:bCs w:val="0"/>
          <w:sz w:val="32"/>
          <w:szCs w:val="32"/>
          <w:lang w:val="en-US" w:eastAsia="zh-CN"/>
        </w:rPr>
        <w:t>包括</w:t>
      </w:r>
      <w:r>
        <w:rPr>
          <w:rFonts w:hint="default" w:ascii="Times New Roman" w:hAnsi="Times New Roman" w:eastAsia="仿宋_GB2312" w:cs="Times New Roman"/>
          <w:b w:val="0"/>
          <w:bCs w:val="0"/>
          <w:sz w:val="32"/>
          <w:szCs w:val="32"/>
        </w:rPr>
        <w:t>：</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信息安全管理体系认证ISO/IEC 2700</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或CCRC信息安全服务资质认证；</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信息技术服务管理体系认证ISO/IEC 20000系列；</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信息技术服务标准ITSS资质的YW/YF/ZX类型认证。</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bookmarkStart w:id="26" w:name="_Toc211875803"/>
      <w:r>
        <w:rPr>
          <w:rFonts w:hint="default" w:ascii="Times New Roman" w:hAnsi="Times New Roman" w:eastAsia="仿宋_GB2312" w:cs="Times New Roman"/>
          <w:b w:val="0"/>
          <w:bCs w:val="0"/>
          <w:sz w:val="32"/>
          <w:szCs w:val="32"/>
          <w:lang w:val="en-US" w:eastAsia="zh-CN"/>
        </w:rPr>
        <w:t>（招标人可从上述信息安全、信息技术服务管理体系和</w:t>
      </w:r>
      <w:r>
        <w:rPr>
          <w:rFonts w:hint="default" w:ascii="Times New Roman" w:hAnsi="Times New Roman" w:eastAsia="仿宋_GB2312" w:cs="Times New Roman"/>
          <w:b w:val="0"/>
          <w:bCs w:val="0"/>
          <w:sz w:val="32"/>
          <w:szCs w:val="32"/>
        </w:rPr>
        <w:t>信息技术服务标准</w:t>
      </w:r>
      <w:r>
        <w:rPr>
          <w:rFonts w:hint="default" w:ascii="Times New Roman" w:hAnsi="Times New Roman" w:eastAsia="仿宋_GB2312" w:cs="Times New Roman"/>
          <w:b w:val="0"/>
          <w:bCs w:val="0"/>
          <w:sz w:val="32"/>
          <w:szCs w:val="32"/>
          <w:lang w:val="en-US" w:eastAsia="zh-CN"/>
        </w:rPr>
        <w:t>选择设置评分）</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outlineLvl w:val="1"/>
        <w:rPr>
          <w:rFonts w:hint="default" w:ascii="Times New Roman" w:hAnsi="Times New Roman" w:eastAsia="楷体" w:cs="Times New Roman"/>
          <w:b w:val="0"/>
          <w:bCs w:val="0"/>
          <w:sz w:val="32"/>
          <w:szCs w:val="32"/>
          <w:u w:val="none"/>
          <w:shd w:val="clear" w:color="auto" w:fill="FFFFFF"/>
        </w:rPr>
      </w:pPr>
      <w:r>
        <w:rPr>
          <w:rFonts w:hint="default" w:ascii="Times New Roman" w:hAnsi="Times New Roman" w:eastAsia="楷体" w:cs="Times New Roman"/>
          <w:b w:val="0"/>
          <w:bCs w:val="0"/>
          <w:sz w:val="32"/>
          <w:szCs w:val="32"/>
          <w:u w:val="none"/>
          <w:shd w:val="clear" w:color="auto" w:fill="FFFFFF"/>
        </w:rPr>
        <w:t>（三）项目团队资质与资历</w:t>
      </w:r>
      <w:bookmarkEnd w:id="26"/>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hint="default" w:ascii="Times New Roman" w:hAnsi="Times New Roman" w:eastAsia="仿宋_GB2312" w:cs="Times New Roman"/>
          <w:b/>
          <w:bCs/>
          <w:color w:val="auto"/>
          <w:sz w:val="32"/>
          <w:szCs w:val="32"/>
          <w:u w:val="none"/>
          <w:lang w:val="en-US" w:eastAsia="zh-CN"/>
        </w:rPr>
      </w:pPr>
      <w:bookmarkStart w:id="27" w:name="_Toc211875804"/>
      <w:r>
        <w:rPr>
          <w:rFonts w:hint="default" w:ascii="Times New Roman" w:hAnsi="Times New Roman" w:eastAsia="仿宋_GB2312" w:cs="Times New Roman"/>
          <w:b/>
          <w:bCs/>
          <w:color w:val="auto"/>
          <w:sz w:val="32"/>
          <w:szCs w:val="32"/>
          <w:u w:val="none"/>
        </w:rPr>
        <w:t>1.项目经理</w:t>
      </w:r>
      <w:bookmarkEnd w:id="27"/>
      <w:r>
        <w:rPr>
          <w:rFonts w:hint="default" w:ascii="Times New Roman" w:hAnsi="Times New Roman" w:eastAsia="仿宋_GB2312" w:cs="Times New Roman"/>
          <w:b/>
          <w:bCs/>
          <w:color w:val="auto"/>
          <w:sz w:val="32"/>
          <w:szCs w:val="32"/>
          <w:u w:val="none"/>
          <w:lang w:val="en-US" w:eastAsia="zh-CN"/>
        </w:rPr>
        <w:t>资质与资历</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①</w:t>
      </w:r>
      <w:r>
        <w:rPr>
          <w:rFonts w:hint="default" w:ascii="Times New Roman" w:hAnsi="Times New Roman" w:eastAsia="仿宋_GB2312" w:cs="Times New Roman"/>
          <w:b w:val="0"/>
          <w:bCs w:val="0"/>
          <w:sz w:val="32"/>
          <w:szCs w:val="32"/>
        </w:rPr>
        <w:t>水利相关职称证书</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②</w:t>
      </w:r>
      <w:r>
        <w:rPr>
          <w:rFonts w:hint="default" w:ascii="Times New Roman" w:hAnsi="Times New Roman" w:eastAsia="仿宋_GB2312" w:cs="Times New Roman"/>
          <w:b w:val="0"/>
          <w:bCs w:val="0"/>
          <w:sz w:val="32"/>
          <w:szCs w:val="32"/>
        </w:rPr>
        <w:t>计算机相关专业技术资格证书</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③机电工程和（或）水利水电工程类的执业资格</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hint="default" w:ascii="Times New Roman" w:hAnsi="Times New Roman" w:eastAsia="仿宋_GB2312" w:cs="Times New Roman"/>
          <w:b/>
          <w:bCs/>
          <w:color w:val="auto"/>
          <w:sz w:val="32"/>
          <w:szCs w:val="32"/>
          <w:u w:val="none"/>
          <w:lang w:val="en-US" w:eastAsia="zh-CN"/>
        </w:rPr>
      </w:pPr>
      <w:bookmarkStart w:id="28" w:name="_Toc211875805"/>
      <w:r>
        <w:rPr>
          <w:rFonts w:hint="default" w:ascii="Times New Roman" w:hAnsi="Times New Roman" w:eastAsia="仿宋_GB2312" w:cs="Times New Roman"/>
          <w:b/>
          <w:bCs/>
          <w:color w:val="auto"/>
          <w:sz w:val="32"/>
          <w:szCs w:val="32"/>
          <w:u w:val="none"/>
        </w:rPr>
        <w:t>2.项目团队配置</w:t>
      </w:r>
      <w:bookmarkEnd w:id="28"/>
      <w:r>
        <w:rPr>
          <w:rFonts w:hint="default" w:ascii="Times New Roman" w:hAnsi="Times New Roman" w:eastAsia="仿宋_GB2312" w:cs="Times New Roman"/>
          <w:b/>
          <w:bCs/>
          <w:color w:val="auto"/>
          <w:sz w:val="32"/>
          <w:szCs w:val="32"/>
          <w:u w:val="none"/>
          <w:lang w:val="en-US" w:eastAsia="zh-CN"/>
        </w:rPr>
        <w:t>要求</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①项目团队关键岗位配置</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项目团队关键岗位指直接决定项目成败、承担核心职责、对技术落地与履约质量起关键作用的核心角色。</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满足并涵盖信息化项目所必需的各类关键岗位的要求。</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（各关键岗位的要求指对系统分析师、软件工程师、硬件工程师、测试工程师、网络安全专家、运维工程师等进行要求）</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②其他团队成员资质与能力（除关键岗位之外的人员）</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其他团队成员</w:t>
      </w:r>
      <w:r>
        <w:rPr>
          <w:rFonts w:hint="default" w:ascii="Times New Roman" w:hAnsi="Times New Roman" w:eastAsia="仿宋_GB2312" w:cs="Times New Roman"/>
          <w:b w:val="0"/>
          <w:bCs w:val="0"/>
          <w:sz w:val="32"/>
          <w:szCs w:val="32"/>
          <w:lang w:eastAsia="zh-CN"/>
        </w:rPr>
        <w:t>须</w:t>
      </w:r>
      <w:r>
        <w:rPr>
          <w:rFonts w:hint="default" w:ascii="Times New Roman" w:hAnsi="Times New Roman" w:eastAsia="仿宋_GB2312" w:cs="Times New Roman"/>
          <w:b w:val="0"/>
          <w:bCs w:val="0"/>
          <w:sz w:val="32"/>
          <w:szCs w:val="32"/>
        </w:rPr>
        <w:t>具备与岗位相关的专业资格</w:t>
      </w:r>
      <w:r>
        <w:rPr>
          <w:rFonts w:hint="default" w:ascii="Times New Roman" w:hAnsi="Times New Roman" w:eastAsia="仿宋_GB2312" w:cs="Times New Roman"/>
          <w:b w:val="0"/>
          <w:bCs w:val="0"/>
          <w:sz w:val="32"/>
          <w:szCs w:val="32"/>
          <w:lang w:val="en-US" w:eastAsia="zh-CN"/>
        </w:rPr>
        <w:t>和专业</w:t>
      </w:r>
      <w:r>
        <w:rPr>
          <w:rFonts w:hint="default" w:ascii="Times New Roman" w:hAnsi="Times New Roman" w:eastAsia="仿宋_GB2312" w:cs="Times New Roman"/>
          <w:b w:val="0"/>
          <w:bCs w:val="0"/>
          <w:sz w:val="32"/>
          <w:szCs w:val="32"/>
        </w:rPr>
        <w:t>认证</w:t>
      </w:r>
      <w:r>
        <w:rPr>
          <w:rFonts w:hint="default" w:ascii="Times New Roman" w:hAnsi="Times New Roman" w:eastAsia="仿宋_GB2312" w:cs="Times New Roman"/>
          <w:b w:val="0"/>
          <w:bCs w:val="0"/>
          <w:sz w:val="32"/>
          <w:szCs w:val="32"/>
          <w:lang w:eastAsia="zh-CN"/>
        </w:rPr>
        <w:t>。</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outlineLvl w:val="1"/>
        <w:rPr>
          <w:rFonts w:hint="default" w:ascii="Times New Roman" w:hAnsi="Times New Roman" w:eastAsia="楷体" w:cs="Times New Roman"/>
          <w:b w:val="0"/>
          <w:bCs w:val="0"/>
          <w:sz w:val="32"/>
          <w:szCs w:val="32"/>
          <w:highlight w:val="none"/>
          <w:u w:val="none"/>
          <w:shd w:val="clear" w:color="auto" w:fill="FFFFFF"/>
        </w:rPr>
      </w:pPr>
      <w:bookmarkStart w:id="29" w:name="_Toc211875806"/>
      <w:r>
        <w:rPr>
          <w:rFonts w:hint="default" w:ascii="Times New Roman" w:hAnsi="Times New Roman" w:eastAsia="楷体" w:cs="Times New Roman"/>
          <w:b w:val="0"/>
          <w:bCs w:val="0"/>
          <w:sz w:val="32"/>
          <w:szCs w:val="32"/>
          <w:highlight w:val="none"/>
          <w:u w:val="none"/>
          <w:shd w:val="clear" w:color="auto" w:fill="FFFFFF"/>
        </w:rPr>
        <w:t>（四）软件著作权或认证或检测报告</w:t>
      </w:r>
      <w:bookmarkEnd w:id="29"/>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highlight w:val="none"/>
          <w:lang w:eastAsia="zh-CN"/>
        </w:rPr>
      </w:pPr>
      <w:r>
        <w:rPr>
          <w:rFonts w:hint="default" w:ascii="Times New Roman" w:hAnsi="Times New Roman" w:eastAsia="仿宋_GB2312" w:cs="Times New Roman"/>
          <w:b w:val="0"/>
          <w:bCs w:val="0"/>
          <w:sz w:val="32"/>
          <w:szCs w:val="32"/>
          <w:highlight w:val="none"/>
          <w:lang w:eastAsia="zh-CN"/>
        </w:rPr>
        <w:t>对投标人所投设备或服务具有相适应的软件著作权或认证证书或检测报告进行评价。</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注：软件著作权应与采购项目的质量、技术需求等密切相关。只有当软件著作权与项目的功能实现、技术指标达成等有直接联系时，才能将其作为评审条件。</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outlineLvl w:val="1"/>
        <w:rPr>
          <w:rFonts w:hint="default" w:ascii="Times New Roman" w:hAnsi="Times New Roman" w:eastAsia="楷体" w:cs="Times New Roman"/>
          <w:b w:val="0"/>
          <w:bCs w:val="0"/>
          <w:sz w:val="32"/>
          <w:szCs w:val="32"/>
          <w:u w:val="none"/>
          <w:shd w:val="clear" w:color="auto" w:fill="FFFFFF"/>
        </w:rPr>
      </w:pPr>
      <w:bookmarkStart w:id="30" w:name="_Toc211875807"/>
      <w:r>
        <w:rPr>
          <w:rFonts w:hint="default" w:ascii="Times New Roman" w:hAnsi="Times New Roman" w:eastAsia="楷体" w:cs="Times New Roman"/>
          <w:b w:val="0"/>
          <w:bCs w:val="0"/>
          <w:sz w:val="32"/>
          <w:szCs w:val="32"/>
          <w:u w:val="none"/>
          <w:shd w:val="clear" w:color="auto" w:fill="FFFFFF"/>
        </w:rPr>
        <w:t>（五）类似业绩</w:t>
      </w:r>
      <w:bookmarkEnd w:id="30"/>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1、投标人业绩</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对近五年（从招标公告发布之日起往前推算，以合同签订日期为准，下同）承接过类似信息化项目的数量进行评价。</w:t>
      </w:r>
    </w:p>
    <w:p>
      <w:pPr>
        <w:pStyle w:val="17"/>
        <w:keepNext w:val="0"/>
        <w:keepLines w:val="0"/>
        <w:pageBreakBefore w:val="0"/>
        <w:widowControl w:val="0"/>
        <w:numPr>
          <w:ilvl w:val="0"/>
          <w:numId w:val="1"/>
        </w:numPr>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项目经理业绩</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与本招标项相类似的项目管理业绩。</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业绩认定应同时满足以下条件：</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（1）需提供中标通知书、合同协议书和验收证书等（指验收证书或分部验收或阶段验收或发包人证明）；</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上述证明材料必须与全国水利建设市场监管平台填报公示信息一致，不一致的不予认定；</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上述发包人证明须经该项目</w:t>
      </w:r>
      <w:r>
        <w:rPr>
          <w:rFonts w:hint="default" w:ascii="Times New Roman" w:hAnsi="Times New Roman" w:eastAsia="仿宋_GB2312" w:cs="Times New Roman"/>
          <w:b w:val="0"/>
          <w:bCs w:val="0"/>
          <w:sz w:val="32"/>
          <w:szCs w:val="32"/>
          <w:lang w:val="en-US" w:eastAsia="zh-CN"/>
        </w:rPr>
        <w:t>发包人</w:t>
      </w:r>
      <w:r>
        <w:rPr>
          <w:rFonts w:hint="default" w:ascii="Times New Roman" w:hAnsi="Times New Roman" w:eastAsia="仿宋_GB2312" w:cs="Times New Roman"/>
          <w:b w:val="0"/>
          <w:bCs w:val="0"/>
          <w:sz w:val="32"/>
          <w:szCs w:val="32"/>
          <w:lang w:eastAsia="zh-CN"/>
        </w:rPr>
        <w:t>加盖公章。</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（2）与招标项目相类似的信息化项目采购业绩。</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eastAsia="zh-CN"/>
        </w:rPr>
        <w:t>注：类似业绩应</w:t>
      </w:r>
      <w:r>
        <w:rPr>
          <w:rFonts w:hint="default" w:ascii="Times New Roman" w:hAnsi="Times New Roman" w:eastAsia="仿宋_GB2312" w:cs="Times New Roman"/>
          <w:b w:val="0"/>
          <w:bCs w:val="0"/>
          <w:sz w:val="32"/>
          <w:szCs w:val="32"/>
          <w:highlight w:val="none"/>
          <w:lang w:val="en-US" w:eastAsia="zh-CN"/>
        </w:rPr>
        <w:t>与所招标</w:t>
      </w:r>
      <w:r>
        <w:rPr>
          <w:rFonts w:hint="default" w:ascii="Times New Roman" w:hAnsi="Times New Roman" w:eastAsia="仿宋_GB2312" w:cs="Times New Roman"/>
          <w:b w:val="0"/>
          <w:bCs w:val="0"/>
          <w:sz w:val="32"/>
          <w:szCs w:val="32"/>
          <w:highlight w:val="none"/>
          <w:lang w:eastAsia="zh-CN"/>
        </w:rPr>
        <w:t>信息化项目的技术需求、功能实现等紧密相关。若招标文件已明确设置核心产品，则投标人所提供的类似业绩中须包含该核心产品的供货、集成或开发实施内容，且该核心产品在业绩项目中的功能定位、性能参数及交付成果应能佐证其满足本次招标的实质性技术要求。</w:t>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黑体" w:cs="Times New Roman"/>
          <w:b w:val="0"/>
          <w:bCs w:val="0"/>
          <w:color w:val="auto"/>
          <w:sz w:val="32"/>
          <w:szCs w:val="32"/>
          <w:u w:val="none"/>
        </w:rPr>
      </w:pPr>
      <w:bookmarkStart w:id="31" w:name="_Toc211875808"/>
      <w:r>
        <w:rPr>
          <w:rFonts w:hint="default" w:ascii="Times New Roman" w:hAnsi="Times New Roman" w:eastAsia="黑体" w:cs="Times New Roman"/>
          <w:b w:val="0"/>
          <w:bCs w:val="0"/>
          <w:color w:val="auto"/>
          <w:sz w:val="32"/>
          <w:szCs w:val="32"/>
          <w:u w:val="none"/>
        </w:rPr>
        <w:t>三、报价部分</w:t>
      </w:r>
      <w:bookmarkEnd w:id="31"/>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宋体" w:cs="Times New Roman"/>
          <w:b w:val="0"/>
          <w:bCs w:val="0"/>
          <w:sz w:val="32"/>
          <w:szCs w:val="32"/>
          <w:u w:val="none"/>
          <w:shd w:val="clear" w:color="FFFFFF" w:fill="D9D9D9"/>
          <w:lang w:val="en-US" w:eastAsia="zh-CN"/>
        </w:rPr>
      </w:pPr>
      <w:r>
        <w:rPr>
          <w:rFonts w:hint="default" w:ascii="Times New Roman" w:hAnsi="Times New Roman" w:eastAsia="仿宋_GB2312" w:cs="Times New Roman"/>
          <w:b w:val="0"/>
          <w:bCs w:val="0"/>
          <w:sz w:val="32"/>
          <w:szCs w:val="32"/>
          <w:lang w:eastAsia="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4"/>
        <w:spacing w:before="0" w:after="0" w:line="360" w:lineRule="auto"/>
        <w:ind w:firstLine="640" w:firstLineChars="200"/>
        <w:rPr>
          <w:rFonts w:hint="default" w:ascii="Times New Roman" w:hAnsi="Times New Roman" w:eastAsia="仿宋_GB2312" w:cs="Times New Roman"/>
          <w:color w:val="auto"/>
          <w:sz w:val="32"/>
          <w:szCs w:val="32"/>
          <w:shd w:val="clear" w:color="auto" w:fill="FFFFFF"/>
        </w:rPr>
      </w:pPr>
      <w:bookmarkStart w:id="32" w:name="_Toc211875809"/>
      <w:r>
        <w:rPr>
          <w:rFonts w:hint="default" w:ascii="Times New Roman" w:hAnsi="Times New Roman" w:eastAsia="仿宋_GB2312" w:cs="Times New Roman"/>
          <w:color w:val="auto"/>
          <w:sz w:val="32"/>
          <w:szCs w:val="32"/>
          <w:shd w:val="clear" w:color="auto" w:fill="FFFFFF"/>
          <w:lang w:val="en-US" w:eastAsia="zh-CN"/>
        </w:rPr>
        <w:t>（一）</w:t>
      </w:r>
      <w:r>
        <w:rPr>
          <w:rFonts w:hint="default" w:ascii="Times New Roman" w:hAnsi="Times New Roman" w:eastAsia="仿宋_GB2312" w:cs="Times New Roman"/>
          <w:color w:val="auto"/>
          <w:sz w:val="32"/>
          <w:szCs w:val="32"/>
          <w:shd w:val="clear" w:color="auto" w:fill="FFFFFF"/>
        </w:rPr>
        <w:t>投标总报价的计算步骤</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（1）计算评标基准价。</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lang w:eastAsia="zh-CN"/>
        </w:rPr>
        <w:t>）计算各投标人投标总报价与评标基准价的偏差。</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lang w:eastAsia="zh-CN"/>
        </w:rPr>
        <w:t>）计算投标总报价得分。</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二）</w:t>
      </w:r>
      <w:r>
        <w:rPr>
          <w:rFonts w:hint="default" w:ascii="Times New Roman" w:hAnsi="Times New Roman" w:eastAsia="仿宋_GB2312" w:cs="Times New Roman"/>
          <w:b w:val="0"/>
          <w:bCs w:val="0"/>
          <w:sz w:val="32"/>
          <w:szCs w:val="32"/>
          <w:lang w:eastAsia="zh-CN"/>
        </w:rPr>
        <w:t>评标基准价的确定</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采用招标控制价和有效报价的算术平均值确定评标基准价（适用于招标人设置招标控制价的）。</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评标基准价按照以下方法计算：</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（1）确定招标控制价部分</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R=[A-C]×(1-K)+C</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式中：</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R为下浮后的招标控制价部分；</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A为招标控制价；采用复合标底法确定评标基准价，则A为招标人提供的标底；</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C为招标控制价中的不可竞争费用，含暂列金、暂估价、其他项；</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K为招标控制价的下浮率。K值为取值范围内的任意一个百分数，随机抽取确定。K值的取值范围由招标人在0～8%之间选定，其范围幅度不少于连续3个百分点，并在招标文件中载明。</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（2）确定有效报价的算术平均值</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有效报价：初步评审合格的投标人，且其投标报价可竞争费用的下浮率在招标文件中载明的招标控制价的下浮率取值范围内。不在该范围内的投标报价，不参与评标基准价的计算，但不以此否决其投标。</w:t>
      </w:r>
    </w:p>
    <w:p>
      <w:pPr>
        <w:pStyle w:val="17"/>
        <w:keepNext w:val="0"/>
        <w:keepLines w:val="0"/>
        <w:pageBreakBefore w:val="0"/>
        <w:widowControl w:val="0"/>
        <w:kinsoku/>
        <w:wordWrap/>
        <w:overflowPunct/>
        <w:topLinePunct w:val="0"/>
        <w:autoSpaceDE/>
        <w:autoSpaceDN/>
        <w:bidi w:val="0"/>
        <w:adjustRightInd/>
        <w:snapToGrid/>
        <w:spacing w:after="0" w:line="360" w:lineRule="auto"/>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D =</w:t>
      </w:r>
      <w:r>
        <w:rPr>
          <w:rFonts w:hint="default"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lang w:eastAsia="zh-CN"/>
        </w:rPr>
        <w:drawing>
          <wp:inline distT="0" distB="0" distL="0" distR="0">
            <wp:extent cx="951230" cy="387985"/>
            <wp:effectExtent l="0" t="0" r="8890" b="8890"/>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1230" cy="387985"/>
                    </a:xfrm>
                    <a:prstGeom prst="rect">
                      <a:avLst/>
                    </a:prstGeom>
                    <a:noFill/>
                    <a:ln>
                      <a:noFill/>
                    </a:ln>
                  </pic:spPr>
                </pic:pic>
              </a:graphicData>
            </a:graphic>
          </wp:inline>
        </w:drawing>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式中：</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D为有效报价的算术平均值；</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N为投标人的有效报价；</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n为有效报价的投标人个数。</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（3）确定评标基准价</w:t>
      </w:r>
    </w:p>
    <w:p>
      <w:pPr>
        <w:pStyle w:val="17"/>
        <w:keepNext w:val="0"/>
        <w:keepLines w:val="0"/>
        <w:pageBreakBefore w:val="0"/>
        <w:widowControl w:val="0"/>
        <w:kinsoku/>
        <w:wordWrap/>
        <w:overflowPunct/>
        <w:topLinePunct w:val="0"/>
        <w:autoSpaceDE/>
        <w:autoSpaceDN/>
        <w:bidi w:val="0"/>
        <w:adjustRightInd/>
        <w:snapToGrid/>
        <w:spacing w:after="0" w:line="360" w:lineRule="auto"/>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S =</w:t>
      </w:r>
      <w:r>
        <w:rPr>
          <w:rFonts w:hint="default"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lang w:eastAsia="zh-CN"/>
        </w:rPr>
        <w:drawing>
          <wp:inline distT="0" distB="0" distL="0" distR="0">
            <wp:extent cx="514985" cy="48895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14985" cy="488950"/>
                    </a:xfrm>
                    <a:prstGeom prst="rect">
                      <a:avLst/>
                    </a:prstGeom>
                    <a:noFill/>
                    <a:ln>
                      <a:noFill/>
                    </a:ln>
                  </pic:spPr>
                </pic:pic>
              </a:graphicData>
            </a:graphic>
          </wp:inline>
        </w:drawing>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式中：</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S为评标基准价；</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R为招标控制价部分；</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D为有效报价的算术平均值。</w:t>
      </w:r>
    </w:p>
    <w:p>
      <w:pPr>
        <w:pStyle w:val="4"/>
        <w:spacing w:before="0" w:after="0" w:line="360" w:lineRule="auto"/>
        <w:ind w:firstLine="640" w:firstLineChars="200"/>
        <w:rPr>
          <w:rFonts w:hint="default" w:ascii="Times New Roman" w:hAnsi="Times New Roman" w:eastAsia="微软雅黑" w:cs="Times New Roman"/>
          <w:color w:val="auto"/>
          <w:sz w:val="32"/>
          <w:szCs w:val="32"/>
          <w:shd w:val="clear" w:color="auto" w:fill="FFFFFF"/>
        </w:rPr>
      </w:pPr>
      <w:r>
        <w:rPr>
          <w:rFonts w:hint="default" w:ascii="Times New Roman" w:hAnsi="Times New Roman" w:eastAsia="微软雅黑" w:cs="Times New Roman"/>
          <w:color w:val="auto"/>
          <w:sz w:val="32"/>
          <w:szCs w:val="32"/>
          <w:shd w:val="clear" w:color="auto" w:fill="FFFFFF"/>
          <w:lang w:eastAsia="zh-CN"/>
        </w:rPr>
        <w:t>（</w:t>
      </w:r>
      <w:r>
        <w:rPr>
          <w:rFonts w:hint="default" w:ascii="Times New Roman" w:hAnsi="Times New Roman" w:eastAsia="微软雅黑" w:cs="Times New Roman"/>
          <w:color w:val="auto"/>
          <w:sz w:val="32"/>
          <w:szCs w:val="32"/>
          <w:shd w:val="clear" w:color="auto" w:fill="FFFFFF"/>
          <w:lang w:val="en-US" w:eastAsia="zh-CN"/>
        </w:rPr>
        <w:t>三）</w:t>
      </w:r>
      <w:r>
        <w:rPr>
          <w:rFonts w:hint="default" w:ascii="Times New Roman" w:hAnsi="Times New Roman" w:eastAsia="微软雅黑" w:cs="Times New Roman"/>
          <w:color w:val="auto"/>
          <w:sz w:val="32"/>
          <w:szCs w:val="32"/>
          <w:shd w:val="clear" w:color="auto" w:fill="FFFFFF"/>
        </w:rPr>
        <w:t>投标总报价偏差计算</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E = </w:t>
      </w:r>
      <w:r>
        <w:rPr>
          <w:rFonts w:hint="default" w:ascii="Times New Roman" w:hAnsi="Times New Roman" w:eastAsia="仿宋_GB2312" w:cs="Times New Roman"/>
          <w:b w:val="0"/>
          <w:bCs w:val="0"/>
          <w:sz w:val="32"/>
          <w:szCs w:val="32"/>
          <w:lang w:eastAsia="zh-CN"/>
        </w:rPr>
        <w:drawing>
          <wp:inline distT="0" distB="0" distL="0" distR="0">
            <wp:extent cx="429895" cy="393700"/>
            <wp:effectExtent l="0" t="0" r="12065" b="254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29895" cy="393700"/>
                    </a:xfrm>
                    <a:prstGeom prst="rect">
                      <a:avLst/>
                    </a:prstGeom>
                    <a:noFill/>
                    <a:ln>
                      <a:noFill/>
                    </a:ln>
                  </pic:spPr>
                </pic:pic>
              </a:graphicData>
            </a:graphic>
          </wp:inline>
        </w:drawing>
      </w:r>
      <w:r>
        <w:rPr>
          <w:rFonts w:hint="default" w:ascii="Times New Roman" w:hAnsi="Times New Roman" w:eastAsia="仿宋_GB2312" w:cs="Times New Roman"/>
          <w:b w:val="0"/>
          <w:bCs w:val="0"/>
          <w:sz w:val="32"/>
          <w:szCs w:val="32"/>
          <w:lang w:eastAsia="zh-CN"/>
        </w:rPr>
        <w:t>×100%</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式中：</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E为投标总报价偏差；</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N为投标人投标报价；</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S为评标基准价。</w:t>
      </w:r>
    </w:p>
    <w:bookmarkEnd w:id="32"/>
    <w:p>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hint="default" w:ascii="Times New Roman" w:hAnsi="Times New Roman" w:eastAsia="仿宋_GB2312" w:cs="Times New Roman"/>
          <w:b/>
          <w:bCs/>
          <w:color w:val="auto"/>
          <w:sz w:val="32"/>
          <w:szCs w:val="32"/>
          <w:u w:val="none"/>
        </w:rPr>
      </w:pPr>
      <w:bookmarkStart w:id="33" w:name="_Toc211875812"/>
      <w:r>
        <w:rPr>
          <w:rFonts w:hint="default" w:ascii="Times New Roman" w:hAnsi="Times New Roman" w:eastAsia="仿宋_GB2312" w:cs="Times New Roman"/>
          <w:b/>
          <w:bCs/>
          <w:color w:val="auto"/>
          <w:sz w:val="32"/>
          <w:szCs w:val="32"/>
          <w:u w:val="none"/>
          <w:lang w:eastAsia="zh-CN"/>
        </w:rPr>
        <w:t>（</w:t>
      </w:r>
      <w:r>
        <w:rPr>
          <w:rFonts w:hint="default" w:ascii="Times New Roman" w:hAnsi="Times New Roman" w:eastAsia="仿宋_GB2312" w:cs="Times New Roman"/>
          <w:b/>
          <w:bCs/>
          <w:color w:val="auto"/>
          <w:sz w:val="32"/>
          <w:szCs w:val="32"/>
          <w:u w:val="none"/>
          <w:lang w:val="en-US" w:eastAsia="zh-CN"/>
        </w:rPr>
        <w:t>四）</w:t>
      </w:r>
      <w:r>
        <w:rPr>
          <w:rFonts w:hint="default" w:ascii="Times New Roman" w:hAnsi="Times New Roman" w:eastAsia="仿宋_GB2312" w:cs="Times New Roman"/>
          <w:b/>
          <w:bCs/>
          <w:color w:val="auto"/>
          <w:sz w:val="32"/>
          <w:szCs w:val="32"/>
          <w:u w:val="none"/>
        </w:rPr>
        <w:t>投标总报价得分计算</w:t>
      </w:r>
      <w:bookmarkEnd w:id="33"/>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lang w:eastAsia="zh-CN"/>
        </w:rPr>
        <w:t>）投标总报价与评标基准价相等得满分。</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eastAsia="zh-CN"/>
        </w:rPr>
      </w:pPr>
      <w:bookmarkStart w:id="34" w:name="_Hlk206687197"/>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lang w:eastAsia="zh-CN"/>
        </w:rPr>
        <w:t>）按照总报价每低于评标基准价1%</w:t>
      </w:r>
      <w:r>
        <w:rPr>
          <w:rFonts w:hint="default" w:ascii="Times New Roman" w:hAnsi="Times New Roman" w:eastAsia="仿宋_GB2312" w:cs="Times New Roman"/>
          <w:b w:val="0"/>
          <w:bCs w:val="0"/>
          <w:sz w:val="32"/>
          <w:szCs w:val="32"/>
          <w:lang w:val="en-US" w:eastAsia="zh-CN"/>
        </w:rPr>
        <w:t>扣0.3分</w:t>
      </w:r>
      <w:r>
        <w:rPr>
          <w:rFonts w:hint="default" w:ascii="Times New Roman" w:hAnsi="Times New Roman" w:eastAsia="仿宋_GB2312" w:cs="Times New Roman"/>
          <w:b w:val="0"/>
          <w:bCs w:val="0"/>
          <w:sz w:val="32"/>
          <w:szCs w:val="32"/>
          <w:lang w:eastAsia="zh-CN"/>
        </w:rPr>
        <w:t>，可设定基本得分分值或者设定扣完为止。</w:t>
      </w:r>
      <w:bookmarkEnd w:id="34"/>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lang w:eastAsia="zh-CN"/>
        </w:rPr>
        <w:t>）按照总报价每高于评标基准价1%</w:t>
      </w:r>
      <w:r>
        <w:rPr>
          <w:rFonts w:hint="default" w:ascii="Times New Roman" w:hAnsi="Times New Roman" w:eastAsia="仿宋_GB2312" w:cs="Times New Roman"/>
          <w:b w:val="0"/>
          <w:bCs w:val="0"/>
          <w:sz w:val="32"/>
          <w:szCs w:val="32"/>
          <w:lang w:val="en-US" w:eastAsia="zh-CN"/>
        </w:rPr>
        <w:t>扣0.5分</w:t>
      </w:r>
      <w:r>
        <w:rPr>
          <w:rFonts w:hint="default" w:ascii="Times New Roman" w:hAnsi="Times New Roman" w:eastAsia="仿宋_GB2312" w:cs="Times New Roman"/>
          <w:b w:val="0"/>
          <w:bCs w:val="0"/>
          <w:sz w:val="32"/>
          <w:szCs w:val="32"/>
          <w:lang w:eastAsia="zh-CN"/>
        </w:rPr>
        <w:t>，可设定基本得分分值或者设定扣完为止。</w:t>
      </w:r>
    </w:p>
    <w:p>
      <w:pPr>
        <w:pStyle w:val="17"/>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4</w:t>
      </w:r>
      <w:r>
        <w:rPr>
          <w:rFonts w:hint="default" w:ascii="Times New Roman" w:hAnsi="Times New Roman" w:eastAsia="仿宋_GB2312" w:cs="Times New Roman"/>
          <w:b w:val="0"/>
          <w:bCs w:val="0"/>
          <w:sz w:val="32"/>
          <w:szCs w:val="32"/>
          <w:lang w:eastAsia="zh-CN"/>
        </w:rPr>
        <w:t>）原则上，第（</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lang w:eastAsia="zh-CN"/>
        </w:rPr>
        <w:t>）点内基本得分分值的设定，应低于第（</w:t>
      </w: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lang w:eastAsia="zh-CN"/>
        </w:rPr>
        <w:t>）点内的基本得分分值。</w:t>
      </w:r>
    </w:p>
    <w:sectPr>
      <w:footerReference r:id="rId5" w:type="default"/>
      <w:pgSz w:w="11906" w:h="16838"/>
      <w:pgMar w:top="2098" w:right="1531" w:bottom="1984" w:left="1531" w:header="851" w:footer="433"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roman"/>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等线">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Liberation Serif">
    <w:panose1 w:val="02020603050405020304"/>
    <w:charset w:val="00"/>
    <w:family w:val="auto"/>
    <w:pitch w:val="default"/>
    <w:sig w:usb0="A00002AF" w:usb1="500078FB" w:usb2="00000000" w:usb3="00000000" w:csb0="6000009F" w:csb1="DFD70000"/>
  </w:font>
  <w:font w:name="等线 Light">
    <w:altName w:val="汉仪仿宋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sdt>
        <w:sdtPr>
          <w:id w:val="1728636285"/>
        </w:sdtPr>
        <w:sdtContent>
          <w:p>
            <w:pPr>
              <w:pStyle w:val="12"/>
              <w:jc w:val="center"/>
              <w:rPr>
                <w:rFonts w:hint="eastAsia"/>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12"/>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DA5C98"/>
    <w:multiLevelType w:val="singleLevel"/>
    <w:tmpl w:val="D5DA5C98"/>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E12"/>
    <w:rsid w:val="0000217E"/>
    <w:rsid w:val="00004E6E"/>
    <w:rsid w:val="00010D6F"/>
    <w:rsid w:val="00011E03"/>
    <w:rsid w:val="00013196"/>
    <w:rsid w:val="000275E3"/>
    <w:rsid w:val="00033FC5"/>
    <w:rsid w:val="00036ABC"/>
    <w:rsid w:val="00037673"/>
    <w:rsid w:val="00037CA6"/>
    <w:rsid w:val="00041905"/>
    <w:rsid w:val="0004788A"/>
    <w:rsid w:val="00047C36"/>
    <w:rsid w:val="00050B4D"/>
    <w:rsid w:val="0005757B"/>
    <w:rsid w:val="00062062"/>
    <w:rsid w:val="00063F4F"/>
    <w:rsid w:val="00066D6F"/>
    <w:rsid w:val="00074113"/>
    <w:rsid w:val="00077E39"/>
    <w:rsid w:val="000800E6"/>
    <w:rsid w:val="00082496"/>
    <w:rsid w:val="0008318B"/>
    <w:rsid w:val="000876C9"/>
    <w:rsid w:val="0009356C"/>
    <w:rsid w:val="00093710"/>
    <w:rsid w:val="00096A54"/>
    <w:rsid w:val="000A25CE"/>
    <w:rsid w:val="000A7A4D"/>
    <w:rsid w:val="000B5F60"/>
    <w:rsid w:val="000C0798"/>
    <w:rsid w:val="000C23E0"/>
    <w:rsid w:val="000C5F7D"/>
    <w:rsid w:val="000C6AA0"/>
    <w:rsid w:val="000C6BC9"/>
    <w:rsid w:val="000E273A"/>
    <w:rsid w:val="000E41A0"/>
    <w:rsid w:val="000F259F"/>
    <w:rsid w:val="001011AD"/>
    <w:rsid w:val="00111035"/>
    <w:rsid w:val="00111589"/>
    <w:rsid w:val="0011166B"/>
    <w:rsid w:val="00112BE0"/>
    <w:rsid w:val="001132C5"/>
    <w:rsid w:val="00113B4A"/>
    <w:rsid w:val="001223B9"/>
    <w:rsid w:val="0012279A"/>
    <w:rsid w:val="001255AA"/>
    <w:rsid w:val="00127A60"/>
    <w:rsid w:val="00131445"/>
    <w:rsid w:val="0013183C"/>
    <w:rsid w:val="00131A91"/>
    <w:rsid w:val="00132264"/>
    <w:rsid w:val="00133276"/>
    <w:rsid w:val="001342A4"/>
    <w:rsid w:val="00145951"/>
    <w:rsid w:val="0015479D"/>
    <w:rsid w:val="00155F64"/>
    <w:rsid w:val="00156BE6"/>
    <w:rsid w:val="00157E95"/>
    <w:rsid w:val="0016064C"/>
    <w:rsid w:val="00161510"/>
    <w:rsid w:val="00163F23"/>
    <w:rsid w:val="00171D14"/>
    <w:rsid w:val="00173BD3"/>
    <w:rsid w:val="001843CD"/>
    <w:rsid w:val="00185E06"/>
    <w:rsid w:val="001913FF"/>
    <w:rsid w:val="00191E91"/>
    <w:rsid w:val="001949D8"/>
    <w:rsid w:val="001A1C71"/>
    <w:rsid w:val="001A1FF9"/>
    <w:rsid w:val="001B3019"/>
    <w:rsid w:val="001B5E5D"/>
    <w:rsid w:val="001B6040"/>
    <w:rsid w:val="001B619A"/>
    <w:rsid w:val="001C3532"/>
    <w:rsid w:val="001C6DA2"/>
    <w:rsid w:val="001D1487"/>
    <w:rsid w:val="001D7D59"/>
    <w:rsid w:val="001E244B"/>
    <w:rsid w:val="001E4B90"/>
    <w:rsid w:val="001E5DF9"/>
    <w:rsid w:val="001F11C4"/>
    <w:rsid w:val="001F198B"/>
    <w:rsid w:val="001F49C5"/>
    <w:rsid w:val="00204068"/>
    <w:rsid w:val="00211497"/>
    <w:rsid w:val="00211F88"/>
    <w:rsid w:val="00212F7D"/>
    <w:rsid w:val="002179F0"/>
    <w:rsid w:val="0022360D"/>
    <w:rsid w:val="00225169"/>
    <w:rsid w:val="00227340"/>
    <w:rsid w:val="00236E82"/>
    <w:rsid w:val="002412C6"/>
    <w:rsid w:val="00253A6B"/>
    <w:rsid w:val="002560C6"/>
    <w:rsid w:val="00260DE7"/>
    <w:rsid w:val="00263F30"/>
    <w:rsid w:val="00264AC7"/>
    <w:rsid w:val="002650BD"/>
    <w:rsid w:val="00271271"/>
    <w:rsid w:val="00272BEB"/>
    <w:rsid w:val="0027595E"/>
    <w:rsid w:val="00276236"/>
    <w:rsid w:val="0028196D"/>
    <w:rsid w:val="00283C8B"/>
    <w:rsid w:val="00284D40"/>
    <w:rsid w:val="002854B3"/>
    <w:rsid w:val="00290197"/>
    <w:rsid w:val="00290978"/>
    <w:rsid w:val="002968AE"/>
    <w:rsid w:val="00297439"/>
    <w:rsid w:val="002A27AE"/>
    <w:rsid w:val="002A7192"/>
    <w:rsid w:val="002B1D45"/>
    <w:rsid w:val="002B5F05"/>
    <w:rsid w:val="002C320A"/>
    <w:rsid w:val="002C75DD"/>
    <w:rsid w:val="002D0F17"/>
    <w:rsid w:val="002D20D4"/>
    <w:rsid w:val="002D5D08"/>
    <w:rsid w:val="002E3B04"/>
    <w:rsid w:val="002E69B7"/>
    <w:rsid w:val="002E6D21"/>
    <w:rsid w:val="002F2C3A"/>
    <w:rsid w:val="002F53FA"/>
    <w:rsid w:val="00301031"/>
    <w:rsid w:val="0030206C"/>
    <w:rsid w:val="003029C0"/>
    <w:rsid w:val="00314115"/>
    <w:rsid w:val="00322805"/>
    <w:rsid w:val="00324AE3"/>
    <w:rsid w:val="003378AC"/>
    <w:rsid w:val="00343719"/>
    <w:rsid w:val="00355E7E"/>
    <w:rsid w:val="0036691D"/>
    <w:rsid w:val="0036740F"/>
    <w:rsid w:val="00376D24"/>
    <w:rsid w:val="00377498"/>
    <w:rsid w:val="0039082C"/>
    <w:rsid w:val="003949DD"/>
    <w:rsid w:val="003959AD"/>
    <w:rsid w:val="003A0269"/>
    <w:rsid w:val="003A0A8B"/>
    <w:rsid w:val="003A67EF"/>
    <w:rsid w:val="003B126B"/>
    <w:rsid w:val="003B3BDF"/>
    <w:rsid w:val="003B67E5"/>
    <w:rsid w:val="003D09A5"/>
    <w:rsid w:val="003E3F86"/>
    <w:rsid w:val="003E43C0"/>
    <w:rsid w:val="003E7879"/>
    <w:rsid w:val="003F077B"/>
    <w:rsid w:val="003F415B"/>
    <w:rsid w:val="003F4E3C"/>
    <w:rsid w:val="003F6CA0"/>
    <w:rsid w:val="00401BC1"/>
    <w:rsid w:val="00403536"/>
    <w:rsid w:val="00403CEB"/>
    <w:rsid w:val="00405D7A"/>
    <w:rsid w:val="004117B6"/>
    <w:rsid w:val="004139E8"/>
    <w:rsid w:val="00422560"/>
    <w:rsid w:val="0043096B"/>
    <w:rsid w:val="00430A4E"/>
    <w:rsid w:val="004354D8"/>
    <w:rsid w:val="004516A7"/>
    <w:rsid w:val="00455B80"/>
    <w:rsid w:val="0045721E"/>
    <w:rsid w:val="00461284"/>
    <w:rsid w:val="00462364"/>
    <w:rsid w:val="00464A7A"/>
    <w:rsid w:val="00471940"/>
    <w:rsid w:val="00471EC2"/>
    <w:rsid w:val="00473081"/>
    <w:rsid w:val="0047676E"/>
    <w:rsid w:val="00477FA9"/>
    <w:rsid w:val="00481B72"/>
    <w:rsid w:val="004872D9"/>
    <w:rsid w:val="00490FA1"/>
    <w:rsid w:val="004930CB"/>
    <w:rsid w:val="00494207"/>
    <w:rsid w:val="00495353"/>
    <w:rsid w:val="004A3AD6"/>
    <w:rsid w:val="004A4E04"/>
    <w:rsid w:val="004A74DF"/>
    <w:rsid w:val="004B05D4"/>
    <w:rsid w:val="004B7D47"/>
    <w:rsid w:val="004C0C0C"/>
    <w:rsid w:val="004C20AE"/>
    <w:rsid w:val="004D2EF9"/>
    <w:rsid w:val="004D38A1"/>
    <w:rsid w:val="004D3E38"/>
    <w:rsid w:val="004D3E7A"/>
    <w:rsid w:val="004E00AA"/>
    <w:rsid w:val="004E0463"/>
    <w:rsid w:val="004F1217"/>
    <w:rsid w:val="00501B46"/>
    <w:rsid w:val="005037BF"/>
    <w:rsid w:val="0051102E"/>
    <w:rsid w:val="00515B9E"/>
    <w:rsid w:val="00520E8D"/>
    <w:rsid w:val="00527D9F"/>
    <w:rsid w:val="00530DFE"/>
    <w:rsid w:val="00535F4D"/>
    <w:rsid w:val="00546B79"/>
    <w:rsid w:val="005544E1"/>
    <w:rsid w:val="00556BAF"/>
    <w:rsid w:val="00556C9F"/>
    <w:rsid w:val="00564744"/>
    <w:rsid w:val="00564D1E"/>
    <w:rsid w:val="0057030C"/>
    <w:rsid w:val="0057443E"/>
    <w:rsid w:val="00574B17"/>
    <w:rsid w:val="00576CF2"/>
    <w:rsid w:val="00577B14"/>
    <w:rsid w:val="00584FBF"/>
    <w:rsid w:val="00590244"/>
    <w:rsid w:val="005911E6"/>
    <w:rsid w:val="005919A5"/>
    <w:rsid w:val="00596393"/>
    <w:rsid w:val="005A0448"/>
    <w:rsid w:val="005A10CB"/>
    <w:rsid w:val="005A23EE"/>
    <w:rsid w:val="005A3A28"/>
    <w:rsid w:val="005B3A56"/>
    <w:rsid w:val="005B52DD"/>
    <w:rsid w:val="005C42D4"/>
    <w:rsid w:val="005C6660"/>
    <w:rsid w:val="005D09D0"/>
    <w:rsid w:val="005D2ABE"/>
    <w:rsid w:val="005E3527"/>
    <w:rsid w:val="005E758B"/>
    <w:rsid w:val="005F0EA4"/>
    <w:rsid w:val="005F1421"/>
    <w:rsid w:val="005F1874"/>
    <w:rsid w:val="005F26FE"/>
    <w:rsid w:val="005F31C0"/>
    <w:rsid w:val="005F508F"/>
    <w:rsid w:val="005F5C77"/>
    <w:rsid w:val="005F6E98"/>
    <w:rsid w:val="00601EB0"/>
    <w:rsid w:val="00602A11"/>
    <w:rsid w:val="00603D61"/>
    <w:rsid w:val="00612490"/>
    <w:rsid w:val="0061536C"/>
    <w:rsid w:val="0062373A"/>
    <w:rsid w:val="006263E4"/>
    <w:rsid w:val="0062653D"/>
    <w:rsid w:val="00626C53"/>
    <w:rsid w:val="00634B28"/>
    <w:rsid w:val="00634D67"/>
    <w:rsid w:val="0063629C"/>
    <w:rsid w:val="00641753"/>
    <w:rsid w:val="00642FD6"/>
    <w:rsid w:val="00646894"/>
    <w:rsid w:val="00651288"/>
    <w:rsid w:val="006513DA"/>
    <w:rsid w:val="006549C5"/>
    <w:rsid w:val="00656268"/>
    <w:rsid w:val="006566EA"/>
    <w:rsid w:val="006575BD"/>
    <w:rsid w:val="0066254B"/>
    <w:rsid w:val="00666F60"/>
    <w:rsid w:val="006670A4"/>
    <w:rsid w:val="006671BB"/>
    <w:rsid w:val="00672C1F"/>
    <w:rsid w:val="00686B44"/>
    <w:rsid w:val="0068740D"/>
    <w:rsid w:val="006974D5"/>
    <w:rsid w:val="006A14C4"/>
    <w:rsid w:val="006A3D88"/>
    <w:rsid w:val="006B31DC"/>
    <w:rsid w:val="006B4EB6"/>
    <w:rsid w:val="006C2B4B"/>
    <w:rsid w:val="006C7504"/>
    <w:rsid w:val="006D0263"/>
    <w:rsid w:val="006D0E70"/>
    <w:rsid w:val="006E206A"/>
    <w:rsid w:val="006E56D9"/>
    <w:rsid w:val="006F0A03"/>
    <w:rsid w:val="006F0D99"/>
    <w:rsid w:val="006F1317"/>
    <w:rsid w:val="006F276C"/>
    <w:rsid w:val="006F4121"/>
    <w:rsid w:val="006F4571"/>
    <w:rsid w:val="006F6073"/>
    <w:rsid w:val="006F7550"/>
    <w:rsid w:val="00704053"/>
    <w:rsid w:val="00704793"/>
    <w:rsid w:val="00706A80"/>
    <w:rsid w:val="007175B6"/>
    <w:rsid w:val="00720CF9"/>
    <w:rsid w:val="0072494B"/>
    <w:rsid w:val="0072529A"/>
    <w:rsid w:val="007314D4"/>
    <w:rsid w:val="00731CE2"/>
    <w:rsid w:val="00734775"/>
    <w:rsid w:val="007356A8"/>
    <w:rsid w:val="007372F6"/>
    <w:rsid w:val="007439C7"/>
    <w:rsid w:val="007450B0"/>
    <w:rsid w:val="00745221"/>
    <w:rsid w:val="007473B1"/>
    <w:rsid w:val="00754F0A"/>
    <w:rsid w:val="007613D5"/>
    <w:rsid w:val="0076347E"/>
    <w:rsid w:val="007708A8"/>
    <w:rsid w:val="00777DA7"/>
    <w:rsid w:val="00793107"/>
    <w:rsid w:val="007A64DF"/>
    <w:rsid w:val="007A6B7A"/>
    <w:rsid w:val="007A6BE3"/>
    <w:rsid w:val="007B0B64"/>
    <w:rsid w:val="007B30CE"/>
    <w:rsid w:val="007C017E"/>
    <w:rsid w:val="007D1BD9"/>
    <w:rsid w:val="007D621D"/>
    <w:rsid w:val="007F034C"/>
    <w:rsid w:val="007F4A11"/>
    <w:rsid w:val="008019DA"/>
    <w:rsid w:val="00804008"/>
    <w:rsid w:val="0081137C"/>
    <w:rsid w:val="0081763C"/>
    <w:rsid w:val="00831B8B"/>
    <w:rsid w:val="008323FF"/>
    <w:rsid w:val="00833E03"/>
    <w:rsid w:val="0083519C"/>
    <w:rsid w:val="0083596F"/>
    <w:rsid w:val="00840A56"/>
    <w:rsid w:val="008418BD"/>
    <w:rsid w:val="00845100"/>
    <w:rsid w:val="008503CD"/>
    <w:rsid w:val="0085120E"/>
    <w:rsid w:val="00856FEE"/>
    <w:rsid w:val="00861EA9"/>
    <w:rsid w:val="008666B0"/>
    <w:rsid w:val="00866726"/>
    <w:rsid w:val="008736A6"/>
    <w:rsid w:val="00877CC9"/>
    <w:rsid w:val="00881E93"/>
    <w:rsid w:val="00886075"/>
    <w:rsid w:val="00887172"/>
    <w:rsid w:val="0088731E"/>
    <w:rsid w:val="00891CC2"/>
    <w:rsid w:val="0089266D"/>
    <w:rsid w:val="0089284B"/>
    <w:rsid w:val="008A056A"/>
    <w:rsid w:val="008A607F"/>
    <w:rsid w:val="008A794D"/>
    <w:rsid w:val="008B452F"/>
    <w:rsid w:val="008B52E7"/>
    <w:rsid w:val="008B7AB6"/>
    <w:rsid w:val="008C161D"/>
    <w:rsid w:val="008C179F"/>
    <w:rsid w:val="008C7E07"/>
    <w:rsid w:val="008D2633"/>
    <w:rsid w:val="008E0C33"/>
    <w:rsid w:val="008E36C9"/>
    <w:rsid w:val="008E52A0"/>
    <w:rsid w:val="008E7C34"/>
    <w:rsid w:val="008F3AD0"/>
    <w:rsid w:val="00900515"/>
    <w:rsid w:val="009038C8"/>
    <w:rsid w:val="00904BAB"/>
    <w:rsid w:val="00914D76"/>
    <w:rsid w:val="00917EA6"/>
    <w:rsid w:val="00923EAE"/>
    <w:rsid w:val="009265A3"/>
    <w:rsid w:val="00932B8E"/>
    <w:rsid w:val="009357BB"/>
    <w:rsid w:val="00947356"/>
    <w:rsid w:val="00950FEE"/>
    <w:rsid w:val="00951635"/>
    <w:rsid w:val="00954B5E"/>
    <w:rsid w:val="00955EAE"/>
    <w:rsid w:val="0095775B"/>
    <w:rsid w:val="00960708"/>
    <w:rsid w:val="00962CE2"/>
    <w:rsid w:val="00964620"/>
    <w:rsid w:val="0096688B"/>
    <w:rsid w:val="00973E3B"/>
    <w:rsid w:val="00983EA8"/>
    <w:rsid w:val="0099127F"/>
    <w:rsid w:val="00993E51"/>
    <w:rsid w:val="0099546D"/>
    <w:rsid w:val="009A0357"/>
    <w:rsid w:val="009A628E"/>
    <w:rsid w:val="009B4D19"/>
    <w:rsid w:val="009C4FCD"/>
    <w:rsid w:val="009D43B2"/>
    <w:rsid w:val="009D536D"/>
    <w:rsid w:val="009E17E2"/>
    <w:rsid w:val="009F368E"/>
    <w:rsid w:val="009F390B"/>
    <w:rsid w:val="009F61CE"/>
    <w:rsid w:val="00A01C38"/>
    <w:rsid w:val="00A037AB"/>
    <w:rsid w:val="00A038E1"/>
    <w:rsid w:val="00A03A05"/>
    <w:rsid w:val="00A03C2D"/>
    <w:rsid w:val="00A06E84"/>
    <w:rsid w:val="00A079CB"/>
    <w:rsid w:val="00A10892"/>
    <w:rsid w:val="00A10898"/>
    <w:rsid w:val="00A14996"/>
    <w:rsid w:val="00A166BE"/>
    <w:rsid w:val="00A2433A"/>
    <w:rsid w:val="00A327DB"/>
    <w:rsid w:val="00A3424C"/>
    <w:rsid w:val="00A35EB9"/>
    <w:rsid w:val="00A44A85"/>
    <w:rsid w:val="00A454FC"/>
    <w:rsid w:val="00A47388"/>
    <w:rsid w:val="00A52073"/>
    <w:rsid w:val="00A5261F"/>
    <w:rsid w:val="00A63488"/>
    <w:rsid w:val="00A65891"/>
    <w:rsid w:val="00A72917"/>
    <w:rsid w:val="00A73BBD"/>
    <w:rsid w:val="00A810E6"/>
    <w:rsid w:val="00A87BF1"/>
    <w:rsid w:val="00A9216B"/>
    <w:rsid w:val="00A933DF"/>
    <w:rsid w:val="00A94E12"/>
    <w:rsid w:val="00A975C1"/>
    <w:rsid w:val="00AA0BE8"/>
    <w:rsid w:val="00AA409E"/>
    <w:rsid w:val="00AA56B0"/>
    <w:rsid w:val="00AA6211"/>
    <w:rsid w:val="00AA6E3F"/>
    <w:rsid w:val="00AA7B15"/>
    <w:rsid w:val="00AA7D4A"/>
    <w:rsid w:val="00AB03F4"/>
    <w:rsid w:val="00AB5336"/>
    <w:rsid w:val="00AC02FC"/>
    <w:rsid w:val="00AC2210"/>
    <w:rsid w:val="00AC347F"/>
    <w:rsid w:val="00AD0479"/>
    <w:rsid w:val="00AD51FE"/>
    <w:rsid w:val="00AD5637"/>
    <w:rsid w:val="00AD6654"/>
    <w:rsid w:val="00AD753C"/>
    <w:rsid w:val="00AE0E67"/>
    <w:rsid w:val="00AE1229"/>
    <w:rsid w:val="00AE2734"/>
    <w:rsid w:val="00AF06F3"/>
    <w:rsid w:val="00B01C1C"/>
    <w:rsid w:val="00B01F89"/>
    <w:rsid w:val="00B0458F"/>
    <w:rsid w:val="00B0645A"/>
    <w:rsid w:val="00B10323"/>
    <w:rsid w:val="00B12019"/>
    <w:rsid w:val="00B2256C"/>
    <w:rsid w:val="00B26869"/>
    <w:rsid w:val="00B313B4"/>
    <w:rsid w:val="00B33449"/>
    <w:rsid w:val="00B33B21"/>
    <w:rsid w:val="00B416F8"/>
    <w:rsid w:val="00B52F7C"/>
    <w:rsid w:val="00B558FF"/>
    <w:rsid w:val="00B60E0B"/>
    <w:rsid w:val="00B65094"/>
    <w:rsid w:val="00B65823"/>
    <w:rsid w:val="00B67297"/>
    <w:rsid w:val="00B67B02"/>
    <w:rsid w:val="00B706A5"/>
    <w:rsid w:val="00B73192"/>
    <w:rsid w:val="00B772F7"/>
    <w:rsid w:val="00B80494"/>
    <w:rsid w:val="00B84388"/>
    <w:rsid w:val="00B86F79"/>
    <w:rsid w:val="00B9203F"/>
    <w:rsid w:val="00B975DB"/>
    <w:rsid w:val="00BA488B"/>
    <w:rsid w:val="00BA77C3"/>
    <w:rsid w:val="00BB3B9C"/>
    <w:rsid w:val="00BB4E0A"/>
    <w:rsid w:val="00BC276D"/>
    <w:rsid w:val="00BC424A"/>
    <w:rsid w:val="00BC7FB6"/>
    <w:rsid w:val="00BD2A0E"/>
    <w:rsid w:val="00BD4D2D"/>
    <w:rsid w:val="00BE1E75"/>
    <w:rsid w:val="00BE272D"/>
    <w:rsid w:val="00BE31C2"/>
    <w:rsid w:val="00BE36F0"/>
    <w:rsid w:val="00BE49F7"/>
    <w:rsid w:val="00BF0B3F"/>
    <w:rsid w:val="00BF0DB6"/>
    <w:rsid w:val="00BF393F"/>
    <w:rsid w:val="00BF64E2"/>
    <w:rsid w:val="00C03761"/>
    <w:rsid w:val="00C07EFE"/>
    <w:rsid w:val="00C22CA2"/>
    <w:rsid w:val="00C2522F"/>
    <w:rsid w:val="00C303FE"/>
    <w:rsid w:val="00C3135F"/>
    <w:rsid w:val="00C43271"/>
    <w:rsid w:val="00C53F1D"/>
    <w:rsid w:val="00C70456"/>
    <w:rsid w:val="00C71723"/>
    <w:rsid w:val="00C71804"/>
    <w:rsid w:val="00C75B3A"/>
    <w:rsid w:val="00C82C7D"/>
    <w:rsid w:val="00C97176"/>
    <w:rsid w:val="00CA1480"/>
    <w:rsid w:val="00CA3E8E"/>
    <w:rsid w:val="00CC529D"/>
    <w:rsid w:val="00CC5ACD"/>
    <w:rsid w:val="00CC6905"/>
    <w:rsid w:val="00CD1554"/>
    <w:rsid w:val="00CD1814"/>
    <w:rsid w:val="00CD2699"/>
    <w:rsid w:val="00CD7045"/>
    <w:rsid w:val="00CE0F17"/>
    <w:rsid w:val="00CE41FF"/>
    <w:rsid w:val="00CF0394"/>
    <w:rsid w:val="00CF0D24"/>
    <w:rsid w:val="00CF2469"/>
    <w:rsid w:val="00CF3BBE"/>
    <w:rsid w:val="00CF43C9"/>
    <w:rsid w:val="00CF4A4F"/>
    <w:rsid w:val="00CF5649"/>
    <w:rsid w:val="00CF688E"/>
    <w:rsid w:val="00D00B3A"/>
    <w:rsid w:val="00D06532"/>
    <w:rsid w:val="00D10855"/>
    <w:rsid w:val="00D14C7B"/>
    <w:rsid w:val="00D16EE4"/>
    <w:rsid w:val="00D2568F"/>
    <w:rsid w:val="00D25A63"/>
    <w:rsid w:val="00D2630F"/>
    <w:rsid w:val="00D275DF"/>
    <w:rsid w:val="00D3248D"/>
    <w:rsid w:val="00D36554"/>
    <w:rsid w:val="00D36A59"/>
    <w:rsid w:val="00D512A8"/>
    <w:rsid w:val="00D56CAC"/>
    <w:rsid w:val="00D62674"/>
    <w:rsid w:val="00D62E8E"/>
    <w:rsid w:val="00D70B39"/>
    <w:rsid w:val="00D71B26"/>
    <w:rsid w:val="00D748FC"/>
    <w:rsid w:val="00D77ADF"/>
    <w:rsid w:val="00D878AC"/>
    <w:rsid w:val="00D93D8F"/>
    <w:rsid w:val="00D95DDC"/>
    <w:rsid w:val="00D97663"/>
    <w:rsid w:val="00DA518A"/>
    <w:rsid w:val="00DB4343"/>
    <w:rsid w:val="00DB7521"/>
    <w:rsid w:val="00DC5EEE"/>
    <w:rsid w:val="00DC666B"/>
    <w:rsid w:val="00DC6BC4"/>
    <w:rsid w:val="00DD19F4"/>
    <w:rsid w:val="00DD2ABA"/>
    <w:rsid w:val="00DD3946"/>
    <w:rsid w:val="00DD4693"/>
    <w:rsid w:val="00DD46A4"/>
    <w:rsid w:val="00DD576C"/>
    <w:rsid w:val="00DE6462"/>
    <w:rsid w:val="00DE7C78"/>
    <w:rsid w:val="00DF7E72"/>
    <w:rsid w:val="00E049C5"/>
    <w:rsid w:val="00E0725C"/>
    <w:rsid w:val="00E1050B"/>
    <w:rsid w:val="00E1254A"/>
    <w:rsid w:val="00E13054"/>
    <w:rsid w:val="00E15160"/>
    <w:rsid w:val="00E25EF1"/>
    <w:rsid w:val="00E3072D"/>
    <w:rsid w:val="00E4151D"/>
    <w:rsid w:val="00E50338"/>
    <w:rsid w:val="00E514D5"/>
    <w:rsid w:val="00E54167"/>
    <w:rsid w:val="00E562AF"/>
    <w:rsid w:val="00E57462"/>
    <w:rsid w:val="00E62FE3"/>
    <w:rsid w:val="00E72AEE"/>
    <w:rsid w:val="00E73D87"/>
    <w:rsid w:val="00E8334E"/>
    <w:rsid w:val="00E862D7"/>
    <w:rsid w:val="00E86F1F"/>
    <w:rsid w:val="00E91707"/>
    <w:rsid w:val="00ED0630"/>
    <w:rsid w:val="00ED1812"/>
    <w:rsid w:val="00EE1C80"/>
    <w:rsid w:val="00EF1184"/>
    <w:rsid w:val="00EF3F7A"/>
    <w:rsid w:val="00EF5471"/>
    <w:rsid w:val="00EF5CE8"/>
    <w:rsid w:val="00EF5F56"/>
    <w:rsid w:val="00F06B0B"/>
    <w:rsid w:val="00F13A46"/>
    <w:rsid w:val="00F22293"/>
    <w:rsid w:val="00F246BD"/>
    <w:rsid w:val="00F26D35"/>
    <w:rsid w:val="00F3275F"/>
    <w:rsid w:val="00F35A83"/>
    <w:rsid w:val="00F4051A"/>
    <w:rsid w:val="00F4228E"/>
    <w:rsid w:val="00F43A57"/>
    <w:rsid w:val="00F447A7"/>
    <w:rsid w:val="00F44FB6"/>
    <w:rsid w:val="00F51525"/>
    <w:rsid w:val="00F535EF"/>
    <w:rsid w:val="00F545EF"/>
    <w:rsid w:val="00F566DA"/>
    <w:rsid w:val="00F5785B"/>
    <w:rsid w:val="00F623E0"/>
    <w:rsid w:val="00F631BC"/>
    <w:rsid w:val="00F66097"/>
    <w:rsid w:val="00F7288E"/>
    <w:rsid w:val="00F80048"/>
    <w:rsid w:val="00F810AD"/>
    <w:rsid w:val="00F91D95"/>
    <w:rsid w:val="00FA282F"/>
    <w:rsid w:val="00FA2B34"/>
    <w:rsid w:val="00FA41D4"/>
    <w:rsid w:val="00FB0188"/>
    <w:rsid w:val="00FB1548"/>
    <w:rsid w:val="00FC2FA4"/>
    <w:rsid w:val="00FE0F8B"/>
    <w:rsid w:val="00FE5161"/>
    <w:rsid w:val="00FE6258"/>
    <w:rsid w:val="00FE6DD5"/>
    <w:rsid w:val="00FF573B"/>
    <w:rsid w:val="00FF618A"/>
    <w:rsid w:val="017E5FA0"/>
    <w:rsid w:val="04BF0955"/>
    <w:rsid w:val="07D1119F"/>
    <w:rsid w:val="091031EE"/>
    <w:rsid w:val="09197442"/>
    <w:rsid w:val="0A03621B"/>
    <w:rsid w:val="12B44556"/>
    <w:rsid w:val="15FC7E02"/>
    <w:rsid w:val="16C80D00"/>
    <w:rsid w:val="1EAC24DC"/>
    <w:rsid w:val="22CE62A8"/>
    <w:rsid w:val="22E771D2"/>
    <w:rsid w:val="258461CA"/>
    <w:rsid w:val="25D503E1"/>
    <w:rsid w:val="28A21BB6"/>
    <w:rsid w:val="2A7E77AA"/>
    <w:rsid w:val="2BD1313C"/>
    <w:rsid w:val="2C7502FD"/>
    <w:rsid w:val="2EA6465D"/>
    <w:rsid w:val="2F713AA3"/>
    <w:rsid w:val="31BB4D36"/>
    <w:rsid w:val="32265FD5"/>
    <w:rsid w:val="32425283"/>
    <w:rsid w:val="33446DD8"/>
    <w:rsid w:val="39007C46"/>
    <w:rsid w:val="39955E36"/>
    <w:rsid w:val="3AD06B49"/>
    <w:rsid w:val="3E4262C5"/>
    <w:rsid w:val="3E6959C5"/>
    <w:rsid w:val="3F846807"/>
    <w:rsid w:val="43E369FE"/>
    <w:rsid w:val="4DB76A0C"/>
    <w:rsid w:val="50C2570B"/>
    <w:rsid w:val="50F25D07"/>
    <w:rsid w:val="53F83FD3"/>
    <w:rsid w:val="54943E52"/>
    <w:rsid w:val="5648259F"/>
    <w:rsid w:val="571760EF"/>
    <w:rsid w:val="598134C4"/>
    <w:rsid w:val="5AD2718F"/>
    <w:rsid w:val="5BA65857"/>
    <w:rsid w:val="5CFA37EF"/>
    <w:rsid w:val="5E53354E"/>
    <w:rsid w:val="61096DE8"/>
    <w:rsid w:val="6D517860"/>
    <w:rsid w:val="70394BAE"/>
    <w:rsid w:val="72FC49DF"/>
    <w:rsid w:val="73252FF8"/>
    <w:rsid w:val="748D12C5"/>
    <w:rsid w:val="75357D54"/>
    <w:rsid w:val="77F041BA"/>
    <w:rsid w:val="78F56609"/>
    <w:rsid w:val="795F53B0"/>
    <w:rsid w:val="7A613399"/>
    <w:rsid w:val="7BC5429C"/>
    <w:rsid w:val="7F8538A6"/>
    <w:rsid w:val="7FC40805"/>
    <w:rsid w:val="DCCB816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4"/>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5"/>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6"/>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8"/>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9"/>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toc 3"/>
    <w:basedOn w:val="1"/>
    <w:next w:val="1"/>
    <w:unhideWhenUsed/>
    <w:qFormat/>
    <w:uiPriority w:val="39"/>
    <w:pPr>
      <w:ind w:left="840" w:leftChars="400"/>
    </w:pPr>
  </w:style>
  <w:style w:type="paragraph" w:styleId="12">
    <w:name w:val="footer"/>
    <w:basedOn w:val="1"/>
    <w:link w:val="42"/>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41"/>
    <w:unhideWhenUsed/>
    <w:qFormat/>
    <w:uiPriority w:val="99"/>
    <w:pPr>
      <w:tabs>
        <w:tab w:val="center" w:pos="4153"/>
        <w:tab w:val="right" w:pos="8306"/>
      </w:tabs>
      <w:snapToGrid w:val="0"/>
      <w:spacing w:line="240" w:lineRule="auto"/>
      <w:jc w:val="center"/>
    </w:pPr>
    <w:rPr>
      <w:sz w:val="18"/>
      <w:szCs w:val="18"/>
    </w:rPr>
  </w:style>
  <w:style w:type="paragraph" w:styleId="14">
    <w:name w:val="toc 1"/>
    <w:basedOn w:val="1"/>
    <w:next w:val="1"/>
    <w:unhideWhenUsed/>
    <w:qFormat/>
    <w:uiPriority w:val="39"/>
  </w:style>
  <w:style w:type="paragraph" w:styleId="15">
    <w:name w:val="Subtitle"/>
    <w:basedOn w:val="1"/>
    <w:next w:val="1"/>
    <w:link w:val="33"/>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oc 2"/>
    <w:basedOn w:val="1"/>
    <w:next w:val="1"/>
    <w:unhideWhenUsed/>
    <w:qFormat/>
    <w:uiPriority w:val="39"/>
    <w:pPr>
      <w:ind w:left="420" w:leftChars="200"/>
    </w:pPr>
  </w:style>
  <w:style w:type="paragraph" w:styleId="17">
    <w:name w:val="Normal (Web)"/>
    <w:basedOn w:val="1"/>
    <w:unhideWhenUsed/>
    <w:qFormat/>
    <w:uiPriority w:val="99"/>
    <w:pPr>
      <w:spacing w:after="0" w:line="240" w:lineRule="auto"/>
      <w:jc w:val="both"/>
    </w:pPr>
    <w:rPr>
      <w:rFonts w:ascii="Calibri" w:hAnsi="Calibri" w:eastAsia="宋体" w:cs="Times New Roman"/>
      <w:sz w:val="24"/>
      <w14:ligatures w14:val="none"/>
    </w:rPr>
  </w:style>
  <w:style w:type="paragraph" w:styleId="18">
    <w:name w:val="Title"/>
    <w:basedOn w:val="1"/>
    <w:next w:val="1"/>
    <w:link w:val="32"/>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21">
    <w:name w:val="Strong"/>
    <w:basedOn w:val="20"/>
    <w:qFormat/>
    <w:uiPriority w:val="22"/>
    <w:rPr>
      <w:b/>
    </w:rPr>
  </w:style>
  <w:style w:type="character" w:styleId="22">
    <w:name w:val="Hyperlink"/>
    <w:basedOn w:val="20"/>
    <w:unhideWhenUsed/>
    <w:qFormat/>
    <w:uiPriority w:val="99"/>
    <w:rPr>
      <w:color w:val="467886" w:themeColor="hyperlink"/>
      <w:u w:val="single"/>
      <w14:textFill>
        <w14:solidFill>
          <w14:schemeClr w14:val="hlink"/>
        </w14:solidFill>
      </w14:textFill>
    </w:rPr>
  </w:style>
  <w:style w:type="character" w:customStyle="1" w:styleId="23">
    <w:name w:val="标题 1 字符"/>
    <w:basedOn w:val="20"/>
    <w:link w:val="2"/>
    <w:qFormat/>
    <w:uiPriority w:val="9"/>
    <w:rPr>
      <w:rFonts w:asciiTheme="majorHAnsi" w:hAnsiTheme="majorHAnsi" w:eastAsiaTheme="majorEastAsia" w:cstheme="majorBidi"/>
      <w:color w:val="104862" w:themeColor="accent1" w:themeShade="BF"/>
      <w:sz w:val="48"/>
      <w:szCs w:val="48"/>
    </w:rPr>
  </w:style>
  <w:style w:type="character" w:customStyle="1" w:styleId="24">
    <w:name w:val="标题 2 字符"/>
    <w:basedOn w:val="20"/>
    <w:link w:val="3"/>
    <w:qFormat/>
    <w:uiPriority w:val="9"/>
    <w:rPr>
      <w:rFonts w:asciiTheme="majorHAnsi" w:hAnsiTheme="majorHAnsi" w:eastAsiaTheme="majorEastAsia" w:cstheme="majorBidi"/>
      <w:color w:val="104862" w:themeColor="accent1" w:themeShade="BF"/>
      <w:sz w:val="40"/>
      <w:szCs w:val="40"/>
    </w:rPr>
  </w:style>
  <w:style w:type="character" w:customStyle="1" w:styleId="25">
    <w:name w:val="标题 3 字符"/>
    <w:basedOn w:val="20"/>
    <w:link w:val="4"/>
    <w:qFormat/>
    <w:uiPriority w:val="9"/>
    <w:rPr>
      <w:rFonts w:asciiTheme="majorHAnsi" w:hAnsiTheme="majorHAnsi" w:eastAsiaTheme="majorEastAsia" w:cstheme="majorBidi"/>
      <w:color w:val="104862" w:themeColor="accent1" w:themeShade="BF"/>
      <w:sz w:val="32"/>
      <w:szCs w:val="32"/>
    </w:rPr>
  </w:style>
  <w:style w:type="character" w:customStyle="1" w:styleId="26">
    <w:name w:val="标题 4 字符"/>
    <w:basedOn w:val="20"/>
    <w:link w:val="5"/>
    <w:qFormat/>
    <w:uiPriority w:val="9"/>
    <w:rPr>
      <w:rFonts w:cstheme="majorBidi"/>
      <w:color w:val="104862" w:themeColor="accent1" w:themeShade="BF"/>
      <w:sz w:val="28"/>
      <w:szCs w:val="28"/>
    </w:rPr>
  </w:style>
  <w:style w:type="character" w:customStyle="1" w:styleId="27">
    <w:name w:val="标题 5 字符"/>
    <w:basedOn w:val="20"/>
    <w:link w:val="6"/>
    <w:semiHidden/>
    <w:qFormat/>
    <w:uiPriority w:val="9"/>
    <w:rPr>
      <w:rFonts w:cstheme="majorBidi"/>
      <w:color w:val="104862" w:themeColor="accent1" w:themeShade="BF"/>
      <w:sz w:val="24"/>
    </w:rPr>
  </w:style>
  <w:style w:type="character" w:customStyle="1" w:styleId="28">
    <w:name w:val="标题 6 字符"/>
    <w:basedOn w:val="20"/>
    <w:link w:val="7"/>
    <w:semiHidden/>
    <w:qFormat/>
    <w:uiPriority w:val="9"/>
    <w:rPr>
      <w:rFonts w:cstheme="majorBidi"/>
      <w:b/>
      <w:bCs/>
      <w:color w:val="104862" w:themeColor="accent1" w:themeShade="BF"/>
    </w:rPr>
  </w:style>
  <w:style w:type="character" w:customStyle="1" w:styleId="29">
    <w:name w:val="标题 7 字符"/>
    <w:basedOn w:val="2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2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2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20"/>
    <w:link w:val="18"/>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0"/>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20"/>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明显强调1"/>
    <w:basedOn w:val="20"/>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9">
    <w:name w:val="明显引用 字符"/>
    <w:basedOn w:val="20"/>
    <w:link w:val="38"/>
    <w:qFormat/>
    <w:uiPriority w:val="30"/>
    <w:rPr>
      <w:i/>
      <w:iCs/>
      <w:color w:val="104862" w:themeColor="accent1" w:themeShade="BF"/>
    </w:rPr>
  </w:style>
  <w:style w:type="character" w:customStyle="1" w:styleId="40">
    <w:name w:val="明显参考1"/>
    <w:basedOn w:val="20"/>
    <w:qFormat/>
    <w:uiPriority w:val="32"/>
    <w:rPr>
      <w:b/>
      <w:bCs/>
      <w:smallCaps/>
      <w:color w:val="104862" w:themeColor="accent1" w:themeShade="BF"/>
      <w:spacing w:val="5"/>
    </w:rPr>
  </w:style>
  <w:style w:type="character" w:customStyle="1" w:styleId="41">
    <w:name w:val="页眉 字符"/>
    <w:basedOn w:val="20"/>
    <w:link w:val="13"/>
    <w:qFormat/>
    <w:uiPriority w:val="99"/>
    <w:rPr>
      <w:sz w:val="18"/>
      <w:szCs w:val="18"/>
    </w:rPr>
  </w:style>
  <w:style w:type="character" w:customStyle="1" w:styleId="42">
    <w:name w:val="页脚 字符"/>
    <w:basedOn w:val="20"/>
    <w:link w:val="1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25</Pages>
  <Words>8108</Words>
  <Characters>8259</Characters>
  <Lines>82</Lines>
  <Paragraphs>23</Paragraphs>
  <TotalTime>3</TotalTime>
  <ScaleCrop>false</ScaleCrop>
  <LinksUpToDate>false</LinksUpToDate>
  <CharactersWithSpaces>8261</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2025-08-21T07:21:00Z</dcterms:created>
  <dc:creator>小军 杨</dc:creator>
  <cp:lastModifiedBy>slt</cp:lastModifiedBy>
  <cp:lastPrinted>2026-07-16T03:37:00Z</cp:lastPrinted>
  <dcterms:modified xsi:type="dcterms:W3CDTF">2026-07-27T19:01:47Z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eyJoZGlkIjoiNGIzNjNmOGNlYzJlNjlmYzkzY2M1NjI1OWNhMTc1ZDkiLCJ1c2VySWQiOiIxMDAyNTc0ODE5In0=</vt:lpwstr>
  </property>
  <property fmtid="{D5CDD505-2E9C-101B-9397-08002B2CF9AE}" pid="3" name="KSOProductBuildVer">
    <vt:lpwstr>2052-11.8.2.12219</vt:lpwstr>
  </property>
  <property fmtid="{D5CDD505-2E9C-101B-9397-08002B2CF9AE}" pid="4" name="ICV">
    <vt:lpwstr>E969E07073CF0DDC9B3A676A16EB89B8</vt:lpwstr>
  </property>
</Properties>
</file>